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367046" w14:textId="77777777" w:rsidR="00A954D8" w:rsidRDefault="00A954D8" w:rsidP="00A954D8">
      <w:pPr>
        <w:outlineLvl w:val="0"/>
        <w:rPr>
          <w:rFonts w:ascii="Arial" w:hAnsi="Arial" w:cs="Arial"/>
          <w:b/>
          <w:sz w:val="22"/>
          <w:szCs w:val="22"/>
        </w:rPr>
      </w:pPr>
      <w:r>
        <w:rPr>
          <w:rFonts w:ascii="Arial" w:hAnsi="Arial" w:cs="Arial"/>
          <w:b/>
          <w:sz w:val="22"/>
          <w:szCs w:val="22"/>
        </w:rPr>
        <w:t>BEFORE THE ENVIRONMENT COURT</w:t>
      </w:r>
    </w:p>
    <w:p w14:paraId="367DDD62" w14:textId="77777777" w:rsidR="00A954D8" w:rsidRPr="00C111B0" w:rsidRDefault="00A954D8" w:rsidP="00A954D8">
      <w:pPr>
        <w:outlineLvl w:val="0"/>
        <w:rPr>
          <w:rFonts w:ascii="Arial" w:hAnsi="Arial" w:cs="Arial"/>
          <w:b/>
          <w:sz w:val="22"/>
          <w:szCs w:val="22"/>
        </w:rPr>
      </w:pPr>
      <w:r>
        <w:rPr>
          <w:rFonts w:ascii="Arial" w:hAnsi="Arial" w:cs="Arial"/>
          <w:b/>
          <w:sz w:val="22"/>
          <w:szCs w:val="22"/>
        </w:rPr>
        <w:t>WELLINGTON</w:t>
      </w:r>
      <w:r w:rsidRPr="00C111B0">
        <w:rPr>
          <w:rFonts w:ascii="Tahoma" w:hAnsi="Tahoma" w:cs="Tahoma"/>
          <w:color w:val="333399"/>
          <w:sz w:val="88"/>
          <w:szCs w:val="88"/>
        </w:rPr>
        <w:t xml:space="preserve"> </w:t>
      </w:r>
    </w:p>
    <w:p w14:paraId="15A2DC09" w14:textId="77777777" w:rsidR="00A954D8" w:rsidRDefault="00A954D8" w:rsidP="00A954D8">
      <w:pPr>
        <w:outlineLvl w:val="0"/>
        <w:rPr>
          <w:rFonts w:ascii="Arial" w:hAnsi="Arial" w:cs="Arial"/>
          <w:b/>
          <w:sz w:val="22"/>
          <w:szCs w:val="22"/>
        </w:rPr>
      </w:pPr>
    </w:p>
    <w:p w14:paraId="23DFFA2C" w14:textId="77777777" w:rsidR="00A954D8" w:rsidRDefault="00A954D8" w:rsidP="00A954D8">
      <w:pPr>
        <w:rPr>
          <w:rFonts w:ascii="Arial" w:hAnsi="Arial" w:cs="Arial"/>
          <w:sz w:val="22"/>
          <w:szCs w:val="22"/>
        </w:rPr>
      </w:pPr>
    </w:p>
    <w:p w14:paraId="628D2699" w14:textId="77777777" w:rsidR="00A954D8" w:rsidRDefault="00A954D8" w:rsidP="00A954D8">
      <w:pPr>
        <w:rPr>
          <w:rFonts w:ascii="Arial" w:hAnsi="Arial" w:cs="Arial"/>
          <w:b/>
          <w:sz w:val="22"/>
          <w:szCs w:val="22"/>
        </w:rPr>
      </w:pPr>
      <w:r>
        <w:rPr>
          <w:rFonts w:ascii="Arial" w:hAnsi="Arial" w:cs="Arial"/>
          <w:b/>
          <w:sz w:val="22"/>
          <w:szCs w:val="22"/>
        </w:rPr>
        <w:t>ENV-2016-WLG-28       </w:t>
      </w:r>
    </w:p>
    <w:p w14:paraId="5C0EB9C3" w14:textId="77777777" w:rsidR="00A954D8" w:rsidRDefault="00A954D8" w:rsidP="00A954D8">
      <w:pPr>
        <w:rPr>
          <w:rFonts w:ascii="Arial" w:hAnsi="Arial" w:cs="Arial"/>
          <w:sz w:val="22"/>
          <w:szCs w:val="22"/>
        </w:rPr>
      </w:pPr>
    </w:p>
    <w:tbl>
      <w:tblPr>
        <w:tblW w:w="0" w:type="auto"/>
        <w:tblInd w:w="2088" w:type="dxa"/>
        <w:tblLook w:val="01E0" w:firstRow="1" w:lastRow="1" w:firstColumn="1" w:lastColumn="1" w:noHBand="0" w:noVBand="0"/>
      </w:tblPr>
      <w:tblGrid>
        <w:gridCol w:w="2242"/>
        <w:gridCol w:w="4157"/>
      </w:tblGrid>
      <w:tr w:rsidR="00A954D8" w14:paraId="71BC5B9C" w14:textId="77777777" w:rsidTr="003C119E">
        <w:tc>
          <w:tcPr>
            <w:tcW w:w="2242" w:type="dxa"/>
          </w:tcPr>
          <w:p w14:paraId="3BF9432F" w14:textId="77777777" w:rsidR="00A954D8" w:rsidRDefault="00A954D8" w:rsidP="003C119E">
            <w:pPr>
              <w:spacing w:after="200"/>
              <w:rPr>
                <w:rFonts w:ascii="Arial" w:hAnsi="Arial" w:cs="Arial"/>
                <w:b/>
                <w:sz w:val="22"/>
                <w:szCs w:val="22"/>
              </w:rPr>
            </w:pPr>
          </w:p>
          <w:p w14:paraId="649337A4" w14:textId="77777777" w:rsidR="00A954D8" w:rsidRDefault="00A954D8" w:rsidP="003C119E">
            <w:pPr>
              <w:spacing w:after="200"/>
              <w:rPr>
                <w:rFonts w:ascii="Arial" w:hAnsi="Arial" w:cs="Arial"/>
                <w:b/>
                <w:sz w:val="22"/>
                <w:szCs w:val="22"/>
              </w:rPr>
            </w:pPr>
            <w:r>
              <w:rPr>
                <w:rFonts w:ascii="Arial" w:hAnsi="Arial" w:cs="Arial"/>
                <w:b/>
                <w:sz w:val="22"/>
                <w:szCs w:val="22"/>
              </w:rPr>
              <w:t>UNDER</w:t>
            </w:r>
          </w:p>
        </w:tc>
        <w:tc>
          <w:tcPr>
            <w:tcW w:w="4157" w:type="dxa"/>
          </w:tcPr>
          <w:p w14:paraId="7ECA790C" w14:textId="77777777" w:rsidR="00A954D8" w:rsidRDefault="00A954D8" w:rsidP="003C119E">
            <w:pPr>
              <w:spacing w:after="200"/>
              <w:rPr>
                <w:rFonts w:ascii="Arial" w:hAnsi="Arial" w:cs="Arial"/>
                <w:sz w:val="22"/>
                <w:szCs w:val="22"/>
              </w:rPr>
            </w:pPr>
          </w:p>
          <w:p w14:paraId="3892C5D5" w14:textId="77777777" w:rsidR="00A954D8" w:rsidRDefault="00A954D8" w:rsidP="003C119E">
            <w:pPr>
              <w:spacing w:after="200"/>
              <w:rPr>
                <w:rFonts w:ascii="Arial" w:hAnsi="Arial" w:cs="Arial"/>
                <w:sz w:val="22"/>
                <w:szCs w:val="22"/>
              </w:rPr>
            </w:pPr>
            <w:r>
              <w:rPr>
                <w:rFonts w:ascii="Arial" w:hAnsi="Arial" w:cs="Arial"/>
                <w:sz w:val="22"/>
                <w:szCs w:val="22"/>
              </w:rPr>
              <w:t>Section 311 of the Resource Management Act 1991</w:t>
            </w:r>
          </w:p>
        </w:tc>
      </w:tr>
      <w:tr w:rsidR="00A954D8" w14:paraId="4FDAF909" w14:textId="77777777" w:rsidTr="003C119E">
        <w:tc>
          <w:tcPr>
            <w:tcW w:w="2242" w:type="dxa"/>
          </w:tcPr>
          <w:p w14:paraId="62136AB4" w14:textId="77777777" w:rsidR="00A954D8" w:rsidRDefault="00A954D8" w:rsidP="003C119E">
            <w:pPr>
              <w:spacing w:after="200"/>
              <w:rPr>
                <w:rFonts w:ascii="Arial" w:hAnsi="Arial" w:cs="Arial"/>
                <w:b/>
                <w:sz w:val="22"/>
                <w:szCs w:val="22"/>
              </w:rPr>
            </w:pPr>
            <w:r>
              <w:rPr>
                <w:rFonts w:ascii="Arial" w:hAnsi="Arial" w:cs="Arial"/>
                <w:b/>
                <w:sz w:val="22"/>
                <w:szCs w:val="22"/>
              </w:rPr>
              <w:t xml:space="preserve">AND </w:t>
            </w:r>
          </w:p>
        </w:tc>
        <w:tc>
          <w:tcPr>
            <w:tcW w:w="4157" w:type="dxa"/>
          </w:tcPr>
          <w:p w14:paraId="1DF15F1F" w14:textId="77777777" w:rsidR="00A954D8" w:rsidRDefault="00A954D8" w:rsidP="003C119E">
            <w:pPr>
              <w:spacing w:after="200"/>
              <w:rPr>
                <w:rFonts w:ascii="Arial" w:hAnsi="Arial" w:cs="Arial"/>
                <w:sz w:val="22"/>
                <w:szCs w:val="22"/>
              </w:rPr>
            </w:pPr>
          </w:p>
        </w:tc>
      </w:tr>
      <w:tr w:rsidR="00A954D8" w14:paraId="6374AD92" w14:textId="77777777" w:rsidTr="003C119E">
        <w:tc>
          <w:tcPr>
            <w:tcW w:w="2242" w:type="dxa"/>
          </w:tcPr>
          <w:p w14:paraId="1E90A0C5" w14:textId="77777777" w:rsidR="00A954D8" w:rsidRDefault="00A954D8" w:rsidP="003C119E">
            <w:pPr>
              <w:spacing w:after="200"/>
              <w:rPr>
                <w:rFonts w:ascii="Arial" w:hAnsi="Arial" w:cs="Arial"/>
                <w:b/>
                <w:sz w:val="22"/>
                <w:szCs w:val="22"/>
              </w:rPr>
            </w:pPr>
            <w:r>
              <w:rPr>
                <w:rFonts w:ascii="Arial" w:hAnsi="Arial" w:cs="Arial"/>
                <w:b/>
                <w:sz w:val="22"/>
                <w:szCs w:val="22"/>
              </w:rPr>
              <w:t>IN THE MATTER</w:t>
            </w:r>
          </w:p>
        </w:tc>
        <w:tc>
          <w:tcPr>
            <w:tcW w:w="4157" w:type="dxa"/>
          </w:tcPr>
          <w:p w14:paraId="2D745885" w14:textId="77777777" w:rsidR="00A954D8" w:rsidRDefault="00A954D8" w:rsidP="003C119E">
            <w:pPr>
              <w:spacing w:after="200"/>
              <w:rPr>
                <w:rFonts w:ascii="Arial" w:hAnsi="Arial" w:cs="Arial"/>
                <w:sz w:val="22"/>
                <w:szCs w:val="22"/>
              </w:rPr>
            </w:pPr>
            <w:r>
              <w:rPr>
                <w:rFonts w:ascii="Arial" w:hAnsi="Arial" w:cs="Arial"/>
                <w:sz w:val="22"/>
                <w:szCs w:val="22"/>
              </w:rPr>
              <w:t>of an application for declarations</w:t>
            </w:r>
          </w:p>
        </w:tc>
      </w:tr>
      <w:tr w:rsidR="00A954D8" w14:paraId="4EA0C3C2" w14:textId="77777777" w:rsidTr="003C119E">
        <w:tc>
          <w:tcPr>
            <w:tcW w:w="2242" w:type="dxa"/>
          </w:tcPr>
          <w:p w14:paraId="0E33B047" w14:textId="77777777" w:rsidR="00A954D8" w:rsidRDefault="00A954D8" w:rsidP="003C119E">
            <w:pPr>
              <w:spacing w:after="200"/>
              <w:rPr>
                <w:rFonts w:ascii="Arial" w:hAnsi="Arial" w:cs="Arial"/>
                <w:b/>
                <w:sz w:val="22"/>
                <w:szCs w:val="22"/>
              </w:rPr>
            </w:pPr>
          </w:p>
          <w:p w14:paraId="6FFE5F65" w14:textId="77777777" w:rsidR="00A954D8" w:rsidRDefault="00A954D8" w:rsidP="003C119E">
            <w:pPr>
              <w:spacing w:after="200"/>
              <w:rPr>
                <w:rFonts w:ascii="Arial" w:hAnsi="Arial" w:cs="Arial"/>
                <w:b/>
                <w:sz w:val="22"/>
                <w:szCs w:val="22"/>
              </w:rPr>
            </w:pPr>
            <w:r>
              <w:rPr>
                <w:rFonts w:ascii="Arial" w:hAnsi="Arial" w:cs="Arial"/>
                <w:b/>
                <w:sz w:val="22"/>
                <w:szCs w:val="22"/>
              </w:rPr>
              <w:t>BETWEEN</w:t>
            </w:r>
          </w:p>
        </w:tc>
        <w:tc>
          <w:tcPr>
            <w:tcW w:w="4157" w:type="dxa"/>
          </w:tcPr>
          <w:p w14:paraId="0C9E8A19" w14:textId="77777777" w:rsidR="00A954D8" w:rsidRDefault="00A954D8" w:rsidP="003C119E">
            <w:pPr>
              <w:spacing w:after="200"/>
              <w:rPr>
                <w:rFonts w:ascii="Arial" w:hAnsi="Arial" w:cs="Arial"/>
                <w:b/>
                <w:sz w:val="22"/>
                <w:szCs w:val="22"/>
              </w:rPr>
            </w:pPr>
          </w:p>
          <w:p w14:paraId="3924A3D8" w14:textId="77777777" w:rsidR="00A954D8" w:rsidRDefault="00A954D8" w:rsidP="003C119E">
            <w:pPr>
              <w:spacing w:after="200"/>
              <w:rPr>
                <w:rFonts w:ascii="Arial" w:hAnsi="Arial" w:cs="Arial"/>
                <w:sz w:val="22"/>
                <w:szCs w:val="22"/>
              </w:rPr>
            </w:pPr>
            <w:r>
              <w:rPr>
                <w:rFonts w:ascii="Arial" w:hAnsi="Arial" w:cs="Arial"/>
                <w:b/>
                <w:sz w:val="22"/>
                <w:szCs w:val="22"/>
              </w:rPr>
              <w:t>Coastal Ratepayers United Inc</w:t>
            </w:r>
          </w:p>
          <w:p w14:paraId="4DAE693D" w14:textId="77777777" w:rsidR="00A954D8" w:rsidRPr="00735972" w:rsidRDefault="00A954D8" w:rsidP="003C119E">
            <w:pPr>
              <w:spacing w:after="200"/>
              <w:rPr>
                <w:rFonts w:ascii="Arial" w:hAnsi="Arial" w:cs="Arial"/>
                <w:sz w:val="22"/>
                <w:szCs w:val="22"/>
              </w:rPr>
            </w:pPr>
            <w:r>
              <w:rPr>
                <w:rFonts w:ascii="Arial" w:hAnsi="Arial" w:cs="Arial"/>
                <w:sz w:val="22"/>
                <w:szCs w:val="22"/>
              </w:rPr>
              <w:t>Applicant</w:t>
            </w:r>
          </w:p>
          <w:p w14:paraId="370825D9" w14:textId="77777777" w:rsidR="00A954D8" w:rsidRPr="00735972" w:rsidRDefault="00A954D8" w:rsidP="003C119E">
            <w:pPr>
              <w:spacing w:after="200"/>
              <w:rPr>
                <w:rFonts w:ascii="Arial" w:hAnsi="Arial" w:cs="Arial"/>
                <w:sz w:val="22"/>
                <w:szCs w:val="22"/>
              </w:rPr>
            </w:pPr>
          </w:p>
        </w:tc>
      </w:tr>
      <w:tr w:rsidR="00A954D8" w14:paraId="307AE3BE" w14:textId="77777777" w:rsidTr="003C119E">
        <w:tc>
          <w:tcPr>
            <w:tcW w:w="2242" w:type="dxa"/>
          </w:tcPr>
          <w:p w14:paraId="0882BFB9" w14:textId="77777777" w:rsidR="00A954D8" w:rsidRDefault="00A954D8" w:rsidP="003C119E">
            <w:pPr>
              <w:spacing w:after="200"/>
              <w:rPr>
                <w:rFonts w:ascii="Arial" w:hAnsi="Arial" w:cs="Arial"/>
                <w:b/>
                <w:sz w:val="22"/>
                <w:szCs w:val="22"/>
              </w:rPr>
            </w:pPr>
            <w:r>
              <w:rPr>
                <w:rFonts w:ascii="Arial" w:hAnsi="Arial" w:cs="Arial"/>
                <w:b/>
                <w:sz w:val="22"/>
                <w:szCs w:val="22"/>
              </w:rPr>
              <w:t>AND</w:t>
            </w:r>
          </w:p>
          <w:p w14:paraId="1B01D24F" w14:textId="77777777" w:rsidR="00A954D8" w:rsidRDefault="00A954D8" w:rsidP="003C119E">
            <w:pPr>
              <w:spacing w:after="200"/>
              <w:rPr>
                <w:rFonts w:ascii="Arial" w:hAnsi="Arial" w:cs="Arial"/>
                <w:b/>
                <w:sz w:val="22"/>
                <w:szCs w:val="22"/>
              </w:rPr>
            </w:pPr>
          </w:p>
          <w:p w14:paraId="2FEDD9B9" w14:textId="77777777" w:rsidR="00A954D8" w:rsidRDefault="00A954D8" w:rsidP="003C119E">
            <w:pPr>
              <w:spacing w:after="200"/>
              <w:rPr>
                <w:rFonts w:ascii="Arial" w:hAnsi="Arial" w:cs="Arial"/>
                <w:b/>
                <w:sz w:val="22"/>
                <w:szCs w:val="22"/>
              </w:rPr>
            </w:pPr>
          </w:p>
        </w:tc>
        <w:tc>
          <w:tcPr>
            <w:tcW w:w="4157" w:type="dxa"/>
          </w:tcPr>
          <w:p w14:paraId="52C64A73" w14:textId="77777777" w:rsidR="00A954D8" w:rsidRDefault="00A954D8" w:rsidP="003C119E">
            <w:pPr>
              <w:spacing w:after="200"/>
              <w:rPr>
                <w:rFonts w:ascii="Arial" w:hAnsi="Arial" w:cs="Arial"/>
                <w:b/>
                <w:sz w:val="22"/>
                <w:szCs w:val="22"/>
              </w:rPr>
            </w:pPr>
            <w:r>
              <w:rPr>
                <w:rFonts w:ascii="Arial" w:hAnsi="Arial" w:cs="Arial"/>
                <w:b/>
                <w:sz w:val="22"/>
                <w:szCs w:val="22"/>
              </w:rPr>
              <w:t>The Kapiti Coast District Council</w:t>
            </w:r>
          </w:p>
          <w:p w14:paraId="1C22F91E" w14:textId="77777777" w:rsidR="00A954D8" w:rsidRPr="00735972" w:rsidRDefault="00A954D8" w:rsidP="003C119E">
            <w:pPr>
              <w:spacing w:after="200"/>
              <w:rPr>
                <w:rFonts w:ascii="Arial" w:hAnsi="Arial" w:cs="Arial"/>
                <w:sz w:val="22"/>
                <w:szCs w:val="22"/>
              </w:rPr>
            </w:pPr>
            <w:r w:rsidRPr="00735972">
              <w:rPr>
                <w:rFonts w:ascii="Arial" w:hAnsi="Arial" w:cs="Arial"/>
                <w:sz w:val="22"/>
                <w:szCs w:val="22"/>
              </w:rPr>
              <w:t>Respondent</w:t>
            </w:r>
          </w:p>
          <w:p w14:paraId="04BBB77D" w14:textId="77777777" w:rsidR="00A954D8" w:rsidRPr="00735972" w:rsidRDefault="00A954D8" w:rsidP="003C119E">
            <w:pPr>
              <w:spacing w:after="200"/>
              <w:rPr>
                <w:rFonts w:ascii="Arial" w:hAnsi="Arial" w:cs="Arial"/>
                <w:sz w:val="22"/>
                <w:szCs w:val="22"/>
              </w:rPr>
            </w:pPr>
          </w:p>
        </w:tc>
      </w:tr>
    </w:tbl>
    <w:p w14:paraId="757FC5BD" w14:textId="77777777" w:rsidR="00A954D8" w:rsidRDefault="00A954D8" w:rsidP="00A954D8">
      <w:pPr>
        <w:spacing w:after="200"/>
        <w:rPr>
          <w:rFonts w:ascii="Arial" w:hAnsi="Arial" w:cs="Arial"/>
          <w:sz w:val="22"/>
          <w:szCs w:val="22"/>
        </w:rPr>
      </w:pPr>
    </w:p>
    <w:p w14:paraId="41D1DC12" w14:textId="77777777" w:rsidR="00A954D8" w:rsidRDefault="00A954D8" w:rsidP="00A954D8">
      <w:pPr>
        <w:pBdr>
          <w:top w:val="single" w:sz="4" w:space="1" w:color="auto"/>
          <w:bottom w:val="single" w:sz="4" w:space="1" w:color="auto"/>
        </w:pBdr>
        <w:spacing w:after="200"/>
        <w:jc w:val="center"/>
        <w:rPr>
          <w:rFonts w:ascii="Arial" w:hAnsi="Arial" w:cs="Arial"/>
          <w:b/>
          <w:sz w:val="22"/>
          <w:szCs w:val="22"/>
        </w:rPr>
      </w:pPr>
    </w:p>
    <w:p w14:paraId="2AF4747C" w14:textId="77777777" w:rsidR="00A954D8" w:rsidRDefault="00A954D8" w:rsidP="00A954D8">
      <w:pPr>
        <w:pBdr>
          <w:top w:val="single" w:sz="4" w:space="1" w:color="auto"/>
          <w:bottom w:val="single" w:sz="4" w:space="1" w:color="auto"/>
        </w:pBdr>
        <w:spacing w:after="200"/>
        <w:jc w:val="center"/>
        <w:outlineLvl w:val="0"/>
        <w:rPr>
          <w:rFonts w:ascii="Arial" w:hAnsi="Arial" w:cs="Arial"/>
          <w:b/>
          <w:sz w:val="22"/>
          <w:szCs w:val="22"/>
        </w:rPr>
      </w:pPr>
      <w:r>
        <w:rPr>
          <w:rFonts w:ascii="Arial" w:hAnsi="Arial" w:cs="Arial"/>
          <w:b/>
          <w:sz w:val="22"/>
          <w:szCs w:val="22"/>
        </w:rPr>
        <w:t>Memorandum of Counsel for Applicant on Interim Decision Issues</w:t>
      </w:r>
    </w:p>
    <w:p w14:paraId="7F2579A2" w14:textId="457D1AE5" w:rsidR="00A954D8" w:rsidRDefault="00A954D8" w:rsidP="00A954D8">
      <w:pPr>
        <w:pBdr>
          <w:top w:val="single" w:sz="4" w:space="1" w:color="auto"/>
          <w:bottom w:val="single" w:sz="4" w:space="1" w:color="auto"/>
        </w:pBdr>
        <w:spacing w:after="200"/>
        <w:jc w:val="center"/>
        <w:outlineLvl w:val="0"/>
        <w:rPr>
          <w:rFonts w:ascii="Arial" w:hAnsi="Arial" w:cs="Arial"/>
          <w:b/>
          <w:sz w:val="22"/>
          <w:szCs w:val="22"/>
        </w:rPr>
      </w:pPr>
      <w:r>
        <w:rPr>
          <w:rFonts w:ascii="Arial" w:hAnsi="Arial" w:cs="Arial"/>
          <w:b/>
          <w:sz w:val="22"/>
          <w:szCs w:val="22"/>
        </w:rPr>
        <w:t xml:space="preserve">dated </w:t>
      </w:r>
      <w:r w:rsidR="00DA5CFB">
        <w:rPr>
          <w:rFonts w:ascii="Arial" w:hAnsi="Arial" w:cs="Arial"/>
          <w:b/>
          <w:sz w:val="22"/>
          <w:szCs w:val="22"/>
        </w:rPr>
        <w:t>27</w:t>
      </w:r>
      <w:r>
        <w:rPr>
          <w:rFonts w:ascii="Arial" w:hAnsi="Arial" w:cs="Arial"/>
          <w:b/>
          <w:sz w:val="22"/>
          <w:szCs w:val="22"/>
        </w:rPr>
        <w:t xml:space="preserve"> March 2017 </w:t>
      </w:r>
    </w:p>
    <w:p w14:paraId="5BB82BB8" w14:textId="77777777" w:rsidR="00A954D8" w:rsidRDefault="00A954D8" w:rsidP="00A954D8">
      <w:pPr>
        <w:pBdr>
          <w:top w:val="single" w:sz="4" w:space="1" w:color="auto"/>
          <w:bottom w:val="single" w:sz="4" w:space="1" w:color="auto"/>
        </w:pBdr>
        <w:spacing w:after="200"/>
        <w:jc w:val="center"/>
        <w:outlineLvl w:val="0"/>
        <w:rPr>
          <w:rFonts w:ascii="Arial" w:hAnsi="Arial" w:cs="Arial"/>
          <w:b/>
          <w:sz w:val="22"/>
          <w:szCs w:val="22"/>
        </w:rPr>
      </w:pPr>
    </w:p>
    <w:p w14:paraId="43721307" w14:textId="77777777" w:rsidR="00A954D8" w:rsidRDefault="00A954D8" w:rsidP="00A954D8"/>
    <w:p w14:paraId="0A50BD93" w14:textId="77777777" w:rsidR="00A954D8" w:rsidRDefault="00A954D8" w:rsidP="00A954D8">
      <w:pPr>
        <w:rPr>
          <w:rFonts w:ascii="Arial" w:hAnsi="Arial" w:cs="Arial"/>
          <w:b/>
          <w:sz w:val="20"/>
        </w:rPr>
      </w:pPr>
    </w:p>
    <w:p w14:paraId="5685758F" w14:textId="77777777" w:rsidR="00A954D8" w:rsidRDefault="00A954D8" w:rsidP="00A954D8">
      <w:pPr>
        <w:rPr>
          <w:rFonts w:ascii="Arial" w:hAnsi="Arial" w:cs="Arial"/>
          <w:b/>
          <w:sz w:val="20"/>
        </w:rPr>
      </w:pPr>
    </w:p>
    <w:p w14:paraId="58FBE1E3" w14:textId="77777777" w:rsidR="00A954D8" w:rsidRDefault="00A954D8" w:rsidP="00A954D8">
      <w:pPr>
        <w:rPr>
          <w:rFonts w:ascii="Arial" w:hAnsi="Arial" w:cs="Arial"/>
          <w:b/>
          <w:sz w:val="20"/>
        </w:rPr>
      </w:pPr>
    </w:p>
    <w:p w14:paraId="5215B3BB" w14:textId="77777777" w:rsidR="00A954D8" w:rsidRDefault="00A954D8" w:rsidP="00A954D8">
      <w:pPr>
        <w:rPr>
          <w:rFonts w:ascii="Arial" w:hAnsi="Arial" w:cs="Arial"/>
          <w:b/>
          <w:sz w:val="20"/>
        </w:rPr>
      </w:pPr>
    </w:p>
    <w:p w14:paraId="259CE6D9" w14:textId="77777777" w:rsidR="00A954D8" w:rsidRDefault="00A954D8" w:rsidP="00A954D8">
      <w:pPr>
        <w:rPr>
          <w:rFonts w:ascii="Arial" w:hAnsi="Arial" w:cs="Arial"/>
          <w:b/>
          <w:sz w:val="20"/>
        </w:rPr>
      </w:pPr>
    </w:p>
    <w:p w14:paraId="0F50EB7A" w14:textId="77777777" w:rsidR="00A954D8" w:rsidRDefault="00A954D8" w:rsidP="00A954D8">
      <w:pPr>
        <w:rPr>
          <w:rFonts w:ascii="Arial" w:hAnsi="Arial" w:cs="Arial"/>
          <w:b/>
          <w:sz w:val="20"/>
        </w:rPr>
      </w:pPr>
    </w:p>
    <w:p w14:paraId="2E66563A" w14:textId="77777777" w:rsidR="00A954D8" w:rsidRDefault="00A954D8" w:rsidP="00A954D8">
      <w:pPr>
        <w:rPr>
          <w:rFonts w:ascii="Arial" w:hAnsi="Arial" w:cs="Arial"/>
          <w:b/>
          <w:sz w:val="20"/>
        </w:rPr>
      </w:pPr>
    </w:p>
    <w:p w14:paraId="2706BDAC" w14:textId="77777777" w:rsidR="00A954D8" w:rsidRDefault="00A954D8" w:rsidP="00A954D8">
      <w:pPr>
        <w:rPr>
          <w:rFonts w:ascii="Arial" w:hAnsi="Arial" w:cs="Arial"/>
          <w:b/>
          <w:sz w:val="20"/>
        </w:rPr>
      </w:pPr>
    </w:p>
    <w:p w14:paraId="48A737B7" w14:textId="77777777" w:rsidR="00A954D8" w:rsidRDefault="00A954D8" w:rsidP="00A954D8">
      <w:pPr>
        <w:rPr>
          <w:rFonts w:ascii="Arial" w:hAnsi="Arial" w:cs="Arial"/>
          <w:b/>
          <w:sz w:val="20"/>
        </w:rPr>
      </w:pPr>
    </w:p>
    <w:p w14:paraId="52114537" w14:textId="77777777" w:rsidR="00A954D8" w:rsidRDefault="00A954D8" w:rsidP="00A954D8">
      <w:pPr>
        <w:rPr>
          <w:rFonts w:ascii="Arial" w:hAnsi="Arial" w:cs="Arial"/>
          <w:b/>
          <w:sz w:val="20"/>
        </w:rPr>
      </w:pPr>
    </w:p>
    <w:p w14:paraId="7B9931BC" w14:textId="77777777" w:rsidR="00A954D8" w:rsidRDefault="00A954D8" w:rsidP="00A954D8">
      <w:pPr>
        <w:rPr>
          <w:rFonts w:ascii="Arial" w:hAnsi="Arial" w:cs="Arial"/>
          <w:b/>
          <w:sz w:val="20"/>
        </w:rPr>
      </w:pPr>
    </w:p>
    <w:p w14:paraId="3F15E292" w14:textId="77777777" w:rsidR="00A954D8" w:rsidRDefault="00A954D8" w:rsidP="00A954D8">
      <w:pPr>
        <w:rPr>
          <w:rFonts w:ascii="Arial" w:hAnsi="Arial" w:cs="Arial"/>
          <w:b/>
          <w:sz w:val="20"/>
        </w:rPr>
      </w:pPr>
    </w:p>
    <w:p w14:paraId="45A1DCD2" w14:textId="77777777" w:rsidR="00A954D8" w:rsidRPr="00B81181" w:rsidRDefault="00A954D8" w:rsidP="00A954D8">
      <w:pPr>
        <w:rPr>
          <w:rFonts w:ascii="Arial" w:hAnsi="Arial" w:cs="Arial"/>
          <w:b/>
          <w:sz w:val="20"/>
        </w:rPr>
      </w:pPr>
      <w:r w:rsidRPr="00B81181">
        <w:rPr>
          <w:rFonts w:ascii="Arial" w:hAnsi="Arial" w:cs="Arial"/>
          <w:b/>
          <w:sz w:val="20"/>
        </w:rPr>
        <w:t xml:space="preserve">Solicitor on the record:  Chris Mitchell                                                                                                       PO Box 499 Waikanae </w:t>
      </w:r>
    </w:p>
    <w:p w14:paraId="6DA13FB3" w14:textId="77777777" w:rsidR="00A954D8" w:rsidRPr="00B81181" w:rsidRDefault="00A954D8" w:rsidP="00A954D8">
      <w:pPr>
        <w:rPr>
          <w:b/>
        </w:rPr>
      </w:pPr>
    </w:p>
    <w:p w14:paraId="5E15A6F1" w14:textId="77777777" w:rsidR="00A954D8" w:rsidRPr="00B81181" w:rsidRDefault="00A954D8" w:rsidP="00A954D8">
      <w:pPr>
        <w:rPr>
          <w:rFonts w:ascii="Arial" w:hAnsi="Arial" w:cs="Arial"/>
          <w:b/>
          <w:sz w:val="20"/>
          <w:szCs w:val="20"/>
        </w:rPr>
      </w:pPr>
      <w:r w:rsidRPr="00B81181">
        <w:rPr>
          <w:rFonts w:ascii="Arial" w:hAnsi="Arial" w:cs="Arial"/>
          <w:b/>
          <w:sz w:val="20"/>
          <w:szCs w:val="20"/>
        </w:rPr>
        <w:t>04 293 3646, email: chris@mitchelllaw.co.nz</w:t>
      </w:r>
    </w:p>
    <w:p w14:paraId="7FB2618F" w14:textId="77777777" w:rsidR="00A954D8" w:rsidRDefault="00A954D8" w:rsidP="00A954D8"/>
    <w:p w14:paraId="7955AE5F" w14:textId="77777777" w:rsidR="00A954D8" w:rsidRDefault="00A954D8" w:rsidP="00A954D8"/>
    <w:p w14:paraId="670F636D" w14:textId="77777777" w:rsidR="00A954D8" w:rsidRDefault="00A954D8" w:rsidP="00A954D8"/>
    <w:p w14:paraId="5466429C" w14:textId="77777777" w:rsidR="00A954D8" w:rsidRDefault="00A954D8" w:rsidP="00A954D8"/>
    <w:p w14:paraId="721637BB" w14:textId="77777777" w:rsidR="00A954D8" w:rsidRDefault="00A954D8" w:rsidP="00A954D8"/>
    <w:p w14:paraId="5964F1B3" w14:textId="77777777" w:rsidR="00A954D8" w:rsidRDefault="00A954D8" w:rsidP="00A954D8">
      <w:pPr>
        <w:rPr>
          <w:rFonts w:ascii="Arial" w:hAnsi="Arial" w:cs="Arial"/>
          <w:b/>
          <w:sz w:val="22"/>
          <w:szCs w:val="22"/>
        </w:rPr>
      </w:pPr>
      <w:r w:rsidRPr="00182DE4">
        <w:rPr>
          <w:rFonts w:ascii="Arial" w:hAnsi="Arial" w:cs="Arial"/>
          <w:b/>
          <w:sz w:val="22"/>
          <w:szCs w:val="22"/>
        </w:rPr>
        <w:t>Your Honour</w:t>
      </w:r>
      <w:r>
        <w:rPr>
          <w:rFonts w:ascii="Arial" w:hAnsi="Arial" w:cs="Arial"/>
          <w:b/>
          <w:sz w:val="22"/>
          <w:szCs w:val="22"/>
        </w:rPr>
        <w:t>:</w:t>
      </w:r>
    </w:p>
    <w:p w14:paraId="1099481B" w14:textId="77777777" w:rsidR="00A954D8" w:rsidRDefault="00A954D8" w:rsidP="00A954D8">
      <w:pPr>
        <w:rPr>
          <w:rFonts w:ascii="Arial" w:hAnsi="Arial" w:cs="Arial"/>
          <w:b/>
          <w:sz w:val="22"/>
          <w:szCs w:val="22"/>
        </w:rPr>
      </w:pPr>
    </w:p>
    <w:p w14:paraId="636FF2BF" w14:textId="77777777" w:rsidR="00A954D8" w:rsidRDefault="00A954D8" w:rsidP="00A954D8">
      <w:pPr>
        <w:rPr>
          <w:rFonts w:ascii="Arial" w:hAnsi="Arial" w:cs="Arial"/>
          <w:b/>
          <w:sz w:val="22"/>
          <w:szCs w:val="22"/>
        </w:rPr>
      </w:pPr>
    </w:p>
    <w:p w14:paraId="58C07967" w14:textId="77777777" w:rsidR="00A954D8" w:rsidRDefault="00A954D8" w:rsidP="00A954D8">
      <w:pPr>
        <w:rPr>
          <w:rFonts w:ascii="Arial" w:hAnsi="Arial" w:cs="Arial"/>
          <w:b/>
          <w:sz w:val="22"/>
          <w:szCs w:val="22"/>
        </w:rPr>
      </w:pPr>
    </w:p>
    <w:p w14:paraId="6AFE5376" w14:textId="3F383880" w:rsidR="00A954D8" w:rsidRDefault="00893566" w:rsidP="00A954D8">
      <w:pPr>
        <w:pStyle w:val="ListParagraph"/>
        <w:numPr>
          <w:ilvl w:val="0"/>
          <w:numId w:val="1"/>
        </w:numPr>
        <w:rPr>
          <w:rFonts w:ascii="Arial" w:hAnsi="Arial" w:cs="Arial"/>
          <w:sz w:val="22"/>
          <w:szCs w:val="22"/>
        </w:rPr>
      </w:pPr>
      <w:r>
        <w:rPr>
          <w:rFonts w:ascii="Arial" w:hAnsi="Arial" w:cs="Arial"/>
          <w:sz w:val="22"/>
          <w:szCs w:val="22"/>
        </w:rPr>
        <w:t>This Memorandum</w:t>
      </w:r>
      <w:r w:rsidR="000F7454">
        <w:rPr>
          <w:rFonts w:ascii="Arial" w:hAnsi="Arial" w:cs="Arial"/>
          <w:sz w:val="22"/>
          <w:szCs w:val="22"/>
        </w:rPr>
        <w:t xml:space="preserve"> complies with the request at [63</w:t>
      </w:r>
      <w:r>
        <w:rPr>
          <w:rFonts w:ascii="Arial" w:hAnsi="Arial" w:cs="Arial"/>
          <w:sz w:val="22"/>
          <w:szCs w:val="22"/>
        </w:rPr>
        <w:t>] of the Court's Interim Decision</w:t>
      </w:r>
      <w:r w:rsidR="000F7454">
        <w:rPr>
          <w:rFonts w:ascii="Arial" w:hAnsi="Arial" w:cs="Arial"/>
          <w:sz w:val="22"/>
          <w:szCs w:val="22"/>
        </w:rPr>
        <w:t xml:space="preserve"> of 3 March 2017</w:t>
      </w:r>
      <w:r w:rsidR="00A954D8">
        <w:rPr>
          <w:rFonts w:ascii="Arial" w:hAnsi="Arial" w:cs="Arial"/>
          <w:sz w:val="22"/>
          <w:szCs w:val="22"/>
        </w:rPr>
        <w:t>.</w:t>
      </w:r>
    </w:p>
    <w:p w14:paraId="39D4B70D" w14:textId="77777777" w:rsidR="00A954D8" w:rsidRDefault="00A954D8" w:rsidP="00A954D8">
      <w:pPr>
        <w:rPr>
          <w:rFonts w:ascii="Arial" w:hAnsi="Arial" w:cs="Arial"/>
          <w:sz w:val="22"/>
          <w:szCs w:val="22"/>
        </w:rPr>
      </w:pPr>
    </w:p>
    <w:p w14:paraId="307F37D4" w14:textId="77777777" w:rsidR="00A954D8" w:rsidRDefault="00A954D8" w:rsidP="00A954D8">
      <w:pPr>
        <w:pStyle w:val="ListParagraph"/>
        <w:numPr>
          <w:ilvl w:val="0"/>
          <w:numId w:val="1"/>
        </w:numPr>
        <w:rPr>
          <w:rFonts w:ascii="Arial" w:hAnsi="Arial" w:cs="Arial"/>
          <w:sz w:val="22"/>
          <w:szCs w:val="22"/>
        </w:rPr>
      </w:pPr>
      <w:r>
        <w:rPr>
          <w:rFonts w:ascii="Arial" w:hAnsi="Arial" w:cs="Arial"/>
          <w:sz w:val="22"/>
          <w:szCs w:val="22"/>
        </w:rPr>
        <w:t>Th</w:t>
      </w:r>
      <w:r w:rsidR="00893566">
        <w:rPr>
          <w:rFonts w:ascii="Arial" w:hAnsi="Arial" w:cs="Arial"/>
          <w:sz w:val="22"/>
          <w:szCs w:val="22"/>
        </w:rPr>
        <w:t>ough Counsel for the Applicant and Counsel for the Respondent have discussed the issues on which comment is sought, no agreement exists and the respective positions are more helpfully set out in separate memoranda</w:t>
      </w:r>
      <w:r>
        <w:rPr>
          <w:rFonts w:ascii="Arial" w:hAnsi="Arial" w:cs="Arial"/>
          <w:sz w:val="22"/>
          <w:szCs w:val="22"/>
        </w:rPr>
        <w:t xml:space="preserve">.  </w:t>
      </w:r>
    </w:p>
    <w:p w14:paraId="1B8D8C25" w14:textId="77777777" w:rsidR="00A954D8" w:rsidRPr="00DF25D3" w:rsidRDefault="00A954D8" w:rsidP="00A954D8">
      <w:pPr>
        <w:ind w:left="568"/>
        <w:rPr>
          <w:rFonts w:ascii="Arial" w:hAnsi="Arial" w:cs="Arial"/>
          <w:sz w:val="22"/>
          <w:szCs w:val="22"/>
        </w:rPr>
      </w:pPr>
    </w:p>
    <w:p w14:paraId="20462FE6" w14:textId="77777777" w:rsidR="00893566" w:rsidRDefault="00893566" w:rsidP="00A954D8">
      <w:pPr>
        <w:pStyle w:val="ListParagraph"/>
        <w:numPr>
          <w:ilvl w:val="0"/>
          <w:numId w:val="1"/>
        </w:numPr>
        <w:rPr>
          <w:rFonts w:ascii="Arial" w:hAnsi="Arial" w:cs="Arial"/>
          <w:sz w:val="22"/>
          <w:szCs w:val="22"/>
        </w:rPr>
      </w:pPr>
      <w:r w:rsidRPr="00893566">
        <w:rPr>
          <w:rFonts w:ascii="Arial" w:hAnsi="Arial" w:cs="Arial"/>
          <w:sz w:val="22"/>
          <w:szCs w:val="22"/>
        </w:rPr>
        <w:t>This Memorandum addresses the issues as follows</w:t>
      </w:r>
      <w:r>
        <w:rPr>
          <w:rFonts w:ascii="Arial" w:hAnsi="Arial" w:cs="Arial"/>
          <w:sz w:val="22"/>
          <w:szCs w:val="22"/>
        </w:rPr>
        <w:t>:</w:t>
      </w:r>
    </w:p>
    <w:p w14:paraId="3FA856D5" w14:textId="77777777" w:rsidR="00893566" w:rsidRDefault="00893566" w:rsidP="00893566">
      <w:pPr>
        <w:pStyle w:val="ListParagraph"/>
        <w:numPr>
          <w:ilvl w:val="0"/>
          <w:numId w:val="2"/>
        </w:numPr>
        <w:rPr>
          <w:rFonts w:ascii="Arial" w:hAnsi="Arial" w:cs="Arial"/>
          <w:sz w:val="22"/>
          <w:szCs w:val="22"/>
        </w:rPr>
      </w:pPr>
      <w:r w:rsidRPr="00893566">
        <w:rPr>
          <w:rFonts w:ascii="Arial" w:hAnsi="Arial" w:cs="Arial"/>
          <w:sz w:val="22"/>
          <w:szCs w:val="22"/>
        </w:rPr>
        <w:t>The question of remedial action in general</w:t>
      </w:r>
    </w:p>
    <w:p w14:paraId="3DCF52F1" w14:textId="55ADB819" w:rsidR="00201402" w:rsidRPr="00893566" w:rsidRDefault="00201402" w:rsidP="00893566">
      <w:pPr>
        <w:pStyle w:val="ListParagraph"/>
        <w:numPr>
          <w:ilvl w:val="0"/>
          <w:numId w:val="2"/>
        </w:numPr>
        <w:rPr>
          <w:rFonts w:ascii="Arial" w:hAnsi="Arial" w:cs="Arial"/>
          <w:sz w:val="22"/>
          <w:szCs w:val="22"/>
        </w:rPr>
      </w:pPr>
      <w:r>
        <w:rPr>
          <w:rFonts w:ascii="Arial" w:hAnsi="Arial" w:cs="Arial"/>
          <w:sz w:val="22"/>
          <w:szCs w:val="22"/>
        </w:rPr>
        <w:t xml:space="preserve">Return to the </w:t>
      </w:r>
      <w:r w:rsidRPr="00201402">
        <w:rPr>
          <w:rFonts w:ascii="Arial" w:hAnsi="Arial" w:cs="Arial"/>
          <w:i/>
          <w:sz w:val="22"/>
          <w:szCs w:val="22"/>
        </w:rPr>
        <w:t>status quo ante</w:t>
      </w:r>
    </w:p>
    <w:p w14:paraId="3817FFC6" w14:textId="77777777" w:rsidR="00893566" w:rsidRPr="00893566" w:rsidRDefault="00893566" w:rsidP="00893566">
      <w:pPr>
        <w:pStyle w:val="ListParagraph"/>
        <w:numPr>
          <w:ilvl w:val="0"/>
          <w:numId w:val="2"/>
        </w:numPr>
        <w:rPr>
          <w:rFonts w:ascii="Arial" w:hAnsi="Arial" w:cs="Arial"/>
          <w:sz w:val="22"/>
          <w:szCs w:val="22"/>
        </w:rPr>
      </w:pPr>
      <w:r w:rsidRPr="00893566">
        <w:rPr>
          <w:rFonts w:ascii="Arial" w:hAnsi="Arial" w:cs="Arial"/>
          <w:sz w:val="22"/>
          <w:szCs w:val="22"/>
        </w:rPr>
        <w:t>The availability of clause 16(2)</w:t>
      </w:r>
    </w:p>
    <w:p w14:paraId="0BBC12F8" w14:textId="77777777" w:rsidR="00A954D8" w:rsidRPr="00893566" w:rsidRDefault="00893566" w:rsidP="00893566">
      <w:pPr>
        <w:pStyle w:val="ListParagraph"/>
        <w:numPr>
          <w:ilvl w:val="0"/>
          <w:numId w:val="2"/>
        </w:numPr>
        <w:rPr>
          <w:rFonts w:ascii="Arial" w:hAnsi="Arial" w:cs="Arial"/>
          <w:sz w:val="22"/>
          <w:szCs w:val="22"/>
        </w:rPr>
      </w:pPr>
      <w:r w:rsidRPr="00893566">
        <w:rPr>
          <w:rFonts w:ascii="Arial" w:hAnsi="Arial" w:cs="Arial"/>
          <w:sz w:val="22"/>
          <w:szCs w:val="22"/>
        </w:rPr>
        <w:t>Declaration 2 should be made in view of the Court's findings</w:t>
      </w:r>
      <w:r w:rsidR="00A954D8" w:rsidRPr="00893566">
        <w:rPr>
          <w:rFonts w:ascii="Arial" w:hAnsi="Arial" w:cs="Arial"/>
          <w:sz w:val="22"/>
          <w:szCs w:val="22"/>
        </w:rPr>
        <w:t xml:space="preserve"> </w:t>
      </w:r>
    </w:p>
    <w:p w14:paraId="493064DF" w14:textId="77777777" w:rsidR="00893566" w:rsidRPr="00893566" w:rsidRDefault="00893566" w:rsidP="00893566">
      <w:pPr>
        <w:ind w:left="568"/>
        <w:rPr>
          <w:rFonts w:ascii="Arial" w:hAnsi="Arial" w:cs="Arial"/>
          <w:sz w:val="22"/>
          <w:szCs w:val="22"/>
        </w:rPr>
      </w:pPr>
    </w:p>
    <w:p w14:paraId="1A043BB6" w14:textId="77777777" w:rsidR="003C119E" w:rsidRDefault="003C119E" w:rsidP="00887DC1">
      <w:pPr>
        <w:ind w:left="568"/>
        <w:rPr>
          <w:rFonts w:ascii="Arial" w:hAnsi="Arial" w:cs="Arial"/>
          <w:sz w:val="22"/>
          <w:szCs w:val="22"/>
        </w:rPr>
      </w:pPr>
    </w:p>
    <w:p w14:paraId="03625023" w14:textId="0530C139" w:rsidR="00887DC1" w:rsidRPr="00887DC1" w:rsidRDefault="00887DC1" w:rsidP="00887DC1">
      <w:pPr>
        <w:ind w:left="568"/>
        <w:rPr>
          <w:rFonts w:ascii="Arial" w:hAnsi="Arial" w:cs="Arial"/>
          <w:b/>
          <w:sz w:val="22"/>
          <w:szCs w:val="22"/>
        </w:rPr>
      </w:pPr>
      <w:r w:rsidRPr="00887DC1">
        <w:rPr>
          <w:rFonts w:ascii="Arial" w:hAnsi="Arial" w:cs="Arial"/>
          <w:b/>
          <w:sz w:val="22"/>
          <w:szCs w:val="22"/>
        </w:rPr>
        <w:t>Remedial action in general</w:t>
      </w:r>
    </w:p>
    <w:p w14:paraId="6DA8F0F4" w14:textId="77777777" w:rsidR="00887DC1" w:rsidRPr="00887DC1" w:rsidRDefault="00887DC1" w:rsidP="00887DC1">
      <w:pPr>
        <w:ind w:left="568"/>
        <w:rPr>
          <w:rFonts w:ascii="Arial" w:hAnsi="Arial" w:cs="Arial"/>
          <w:sz w:val="22"/>
          <w:szCs w:val="22"/>
        </w:rPr>
      </w:pPr>
    </w:p>
    <w:p w14:paraId="609AA25D" w14:textId="07D737A2" w:rsidR="00A954D8" w:rsidRDefault="000F7454" w:rsidP="00A954D8">
      <w:pPr>
        <w:pStyle w:val="ListParagraph"/>
        <w:numPr>
          <w:ilvl w:val="0"/>
          <w:numId w:val="1"/>
        </w:numPr>
        <w:rPr>
          <w:rFonts w:ascii="Arial" w:hAnsi="Arial" w:cs="Arial"/>
          <w:sz w:val="22"/>
          <w:szCs w:val="22"/>
        </w:rPr>
      </w:pPr>
      <w:r>
        <w:rPr>
          <w:rFonts w:ascii="Arial" w:hAnsi="Arial" w:cs="Arial"/>
          <w:sz w:val="22"/>
          <w:szCs w:val="22"/>
        </w:rPr>
        <w:t>CRU ha</w:t>
      </w:r>
      <w:r w:rsidR="00201402">
        <w:rPr>
          <w:rFonts w:ascii="Arial" w:hAnsi="Arial" w:cs="Arial"/>
          <w:sz w:val="22"/>
          <w:szCs w:val="22"/>
        </w:rPr>
        <w:t>s emphasised on a number of occ</w:t>
      </w:r>
      <w:r>
        <w:rPr>
          <w:rFonts w:ascii="Arial" w:hAnsi="Arial" w:cs="Arial"/>
          <w:sz w:val="22"/>
          <w:szCs w:val="22"/>
        </w:rPr>
        <w:t>asions during the course of this proceeding that it does not seek any consequential or rem</w:t>
      </w:r>
      <w:r w:rsidR="00B0378A">
        <w:rPr>
          <w:rFonts w:ascii="Arial" w:hAnsi="Arial" w:cs="Arial"/>
          <w:sz w:val="22"/>
          <w:szCs w:val="22"/>
        </w:rPr>
        <w:t>e</w:t>
      </w:r>
      <w:r>
        <w:rPr>
          <w:rFonts w:ascii="Arial" w:hAnsi="Arial" w:cs="Arial"/>
          <w:sz w:val="22"/>
          <w:szCs w:val="22"/>
        </w:rPr>
        <w:t>dial orders from the Court if one or both of the declarations was to be made.  It repeats its position that any necessary further or remedial action is entirely for the Council to consider after due discussions (in terms of section 78 Local Government Act 2002) with all persons who might be affected by those decisions</w:t>
      </w:r>
      <w:r w:rsidR="00A954D8">
        <w:rPr>
          <w:rFonts w:ascii="Arial" w:hAnsi="Arial" w:cs="Arial"/>
          <w:sz w:val="22"/>
          <w:szCs w:val="22"/>
        </w:rPr>
        <w:t>.</w:t>
      </w:r>
      <w:r>
        <w:rPr>
          <w:rFonts w:ascii="Arial" w:hAnsi="Arial" w:cs="Arial"/>
          <w:sz w:val="22"/>
          <w:szCs w:val="22"/>
        </w:rPr>
        <w:t xml:space="preserve">  The Court should not endorse or require specific actions - and apart from any jurisdictional constraints, it simply does not have adequate information to do so.</w:t>
      </w:r>
    </w:p>
    <w:p w14:paraId="2753C472" w14:textId="77777777" w:rsidR="00A954D8" w:rsidRPr="00501B04" w:rsidRDefault="00A954D8" w:rsidP="00A954D8">
      <w:pPr>
        <w:ind w:left="360"/>
        <w:rPr>
          <w:rFonts w:ascii="Arial" w:hAnsi="Arial" w:cs="Arial"/>
          <w:sz w:val="22"/>
          <w:szCs w:val="22"/>
        </w:rPr>
      </w:pPr>
    </w:p>
    <w:p w14:paraId="62343469" w14:textId="77777777" w:rsidR="00201402" w:rsidRDefault="00540D2E" w:rsidP="00A954D8">
      <w:pPr>
        <w:pStyle w:val="ListParagraph"/>
        <w:numPr>
          <w:ilvl w:val="0"/>
          <w:numId w:val="1"/>
        </w:numPr>
        <w:rPr>
          <w:rFonts w:ascii="Arial" w:hAnsi="Arial" w:cs="Arial"/>
          <w:sz w:val="22"/>
          <w:szCs w:val="22"/>
        </w:rPr>
      </w:pPr>
      <w:r>
        <w:rPr>
          <w:rFonts w:ascii="Arial" w:hAnsi="Arial" w:cs="Arial"/>
          <w:sz w:val="22"/>
          <w:szCs w:val="22"/>
        </w:rPr>
        <w:t xml:space="preserve">CRU has taken the declaration proceedings to be obtain the Court's ruling on the requirements and limitations on the exercise of the Council's statutory powers.  The factual background </w:t>
      </w:r>
      <w:r w:rsidR="00201402">
        <w:rPr>
          <w:rFonts w:ascii="Arial" w:hAnsi="Arial" w:cs="Arial"/>
          <w:sz w:val="22"/>
          <w:szCs w:val="22"/>
        </w:rPr>
        <w:t>to the proceeding and the reasons for it, in terms of the effects on CRU's members of the Council's use of its powers</w:t>
      </w:r>
      <w:r>
        <w:rPr>
          <w:rFonts w:ascii="Arial" w:hAnsi="Arial" w:cs="Arial"/>
          <w:sz w:val="22"/>
          <w:szCs w:val="22"/>
        </w:rPr>
        <w:t xml:space="preserve"> </w:t>
      </w:r>
      <w:r w:rsidR="00201402">
        <w:rPr>
          <w:rFonts w:ascii="Arial" w:hAnsi="Arial" w:cs="Arial"/>
          <w:sz w:val="22"/>
          <w:szCs w:val="22"/>
        </w:rPr>
        <w:t>have been extensively set out in evidence.</w:t>
      </w:r>
      <w:r w:rsidR="00A954D8">
        <w:rPr>
          <w:rFonts w:ascii="Arial" w:hAnsi="Arial" w:cs="Arial"/>
          <w:sz w:val="22"/>
          <w:szCs w:val="22"/>
        </w:rPr>
        <w:t xml:space="preserve"> </w:t>
      </w:r>
      <w:r w:rsidR="00201402">
        <w:rPr>
          <w:rFonts w:ascii="Arial" w:hAnsi="Arial" w:cs="Arial"/>
          <w:sz w:val="22"/>
          <w:szCs w:val="22"/>
        </w:rPr>
        <w:t xml:space="preserve"> </w:t>
      </w:r>
    </w:p>
    <w:p w14:paraId="23DFE38D" w14:textId="77777777" w:rsidR="00201402" w:rsidRPr="00201402" w:rsidRDefault="00201402" w:rsidP="00201402">
      <w:pPr>
        <w:ind w:left="568"/>
        <w:rPr>
          <w:rFonts w:ascii="Arial" w:hAnsi="Arial" w:cs="Arial"/>
          <w:sz w:val="22"/>
          <w:szCs w:val="22"/>
        </w:rPr>
      </w:pPr>
    </w:p>
    <w:p w14:paraId="53A40A27" w14:textId="750E39E1" w:rsidR="00A954D8" w:rsidRDefault="00201402" w:rsidP="00A954D8">
      <w:pPr>
        <w:pStyle w:val="ListParagraph"/>
        <w:numPr>
          <w:ilvl w:val="0"/>
          <w:numId w:val="1"/>
        </w:numPr>
        <w:rPr>
          <w:rFonts w:ascii="Arial" w:hAnsi="Arial" w:cs="Arial"/>
          <w:sz w:val="22"/>
          <w:szCs w:val="22"/>
        </w:rPr>
      </w:pPr>
      <w:r>
        <w:rPr>
          <w:rFonts w:ascii="Arial" w:hAnsi="Arial" w:cs="Arial"/>
          <w:sz w:val="22"/>
          <w:szCs w:val="22"/>
        </w:rPr>
        <w:t>The Council position can be characterised as a denial</w:t>
      </w:r>
      <w:r w:rsidR="00A954D8">
        <w:rPr>
          <w:rFonts w:ascii="Arial" w:hAnsi="Arial" w:cs="Arial"/>
          <w:sz w:val="22"/>
          <w:szCs w:val="22"/>
        </w:rPr>
        <w:t xml:space="preserve"> </w:t>
      </w:r>
      <w:r>
        <w:rPr>
          <w:rFonts w:ascii="Arial" w:hAnsi="Arial" w:cs="Arial"/>
          <w:sz w:val="22"/>
          <w:szCs w:val="22"/>
        </w:rPr>
        <w:t>that it did anything that was not in strict accordance with the relevant requirements, and if it did depart from those requirements, then any such departures were of such minor effect or so easily remediable that they are inconsequential (in the literal meaning of that word)</w:t>
      </w:r>
      <w:r w:rsidR="00A954D8">
        <w:rPr>
          <w:rFonts w:ascii="Arial" w:hAnsi="Arial" w:cs="Arial"/>
          <w:sz w:val="22"/>
          <w:szCs w:val="22"/>
        </w:rPr>
        <w:t xml:space="preserve">.  </w:t>
      </w:r>
    </w:p>
    <w:p w14:paraId="5726519C" w14:textId="77777777" w:rsidR="00A954D8" w:rsidRPr="00DA299C" w:rsidRDefault="00A954D8" w:rsidP="00A954D8">
      <w:pPr>
        <w:ind w:left="568"/>
        <w:rPr>
          <w:rFonts w:ascii="Arial" w:hAnsi="Arial" w:cs="Arial"/>
          <w:sz w:val="22"/>
          <w:szCs w:val="22"/>
        </w:rPr>
      </w:pPr>
    </w:p>
    <w:p w14:paraId="7415A689" w14:textId="759CE017" w:rsidR="00A954D8" w:rsidRPr="00324328" w:rsidRDefault="00201402" w:rsidP="00A954D8">
      <w:pPr>
        <w:pStyle w:val="ListParagraph"/>
        <w:numPr>
          <w:ilvl w:val="0"/>
          <w:numId w:val="1"/>
        </w:numPr>
      </w:pPr>
      <w:r>
        <w:rPr>
          <w:rFonts w:ascii="Arial" w:hAnsi="Arial" w:cs="Arial"/>
          <w:sz w:val="22"/>
          <w:szCs w:val="22"/>
        </w:rPr>
        <w:t>It was clear from the CRU evidence that it regarded the Council's original (and extant</w:t>
      </w:r>
      <w:r w:rsidR="006E2AD0">
        <w:rPr>
          <w:rFonts w:ascii="Arial" w:hAnsi="Arial" w:cs="Arial"/>
          <w:sz w:val="22"/>
          <w:szCs w:val="22"/>
        </w:rPr>
        <w:t>) resolution</w:t>
      </w:r>
      <w:r>
        <w:rPr>
          <w:rFonts w:ascii="Arial" w:hAnsi="Arial" w:cs="Arial"/>
          <w:sz w:val="22"/>
          <w:szCs w:val="22"/>
        </w:rPr>
        <w:t xml:space="preserve"> to fix problems with its PDPs by one or more variations as the appropriate solution</w:t>
      </w:r>
      <w:r w:rsidR="00A954D8">
        <w:rPr>
          <w:rFonts w:ascii="Arial" w:hAnsi="Arial" w:cs="Arial"/>
          <w:sz w:val="22"/>
          <w:szCs w:val="22"/>
        </w:rPr>
        <w:t>.</w:t>
      </w:r>
      <w:r>
        <w:rPr>
          <w:rFonts w:ascii="Arial" w:hAnsi="Arial" w:cs="Arial"/>
          <w:sz w:val="22"/>
          <w:szCs w:val="22"/>
        </w:rPr>
        <w:t xml:space="preserve">  The whole genesis of the Council's current difficulties is its failure to follow the independent advice it received from Fowler and Allan</w:t>
      </w:r>
      <w:r w:rsidR="00887DC1">
        <w:rPr>
          <w:rFonts w:ascii="Arial" w:hAnsi="Arial" w:cs="Arial"/>
          <w:sz w:val="22"/>
          <w:szCs w:val="22"/>
        </w:rPr>
        <w:t>, as it both resolved to do and advised affected people (including CRU) it would do.  With respect, the Court should not now use these proceedings to help the Council find a solution which simply perpetuates the problem of excluding that part of the</w:t>
      </w:r>
      <w:r w:rsidR="006E2AD0">
        <w:rPr>
          <w:rFonts w:ascii="Arial" w:hAnsi="Arial" w:cs="Arial"/>
          <w:sz w:val="22"/>
          <w:szCs w:val="22"/>
        </w:rPr>
        <w:t xml:space="preserve"> significant</w:t>
      </w:r>
      <w:r w:rsidR="00887DC1">
        <w:rPr>
          <w:rFonts w:ascii="Arial" w:hAnsi="Arial" w:cs="Arial"/>
          <w:sz w:val="22"/>
          <w:szCs w:val="22"/>
        </w:rPr>
        <w:t xml:space="preserve"> community which is affected by these provisions.</w:t>
      </w:r>
    </w:p>
    <w:p w14:paraId="7DA2BFF1" w14:textId="77777777" w:rsidR="00A954D8" w:rsidRPr="00324328" w:rsidRDefault="00A954D8" w:rsidP="00A954D8">
      <w:pPr>
        <w:ind w:left="568"/>
      </w:pPr>
    </w:p>
    <w:p w14:paraId="3A714F7F" w14:textId="06BE190F" w:rsidR="00887DC1" w:rsidRDefault="00887DC1" w:rsidP="00887DC1">
      <w:pPr>
        <w:ind w:left="568"/>
        <w:rPr>
          <w:rFonts w:ascii="Arial" w:hAnsi="Arial"/>
          <w:b/>
          <w:i/>
          <w:sz w:val="22"/>
          <w:szCs w:val="22"/>
        </w:rPr>
      </w:pPr>
      <w:r w:rsidRPr="00887DC1">
        <w:rPr>
          <w:rFonts w:ascii="Arial" w:hAnsi="Arial"/>
          <w:b/>
          <w:sz w:val="22"/>
          <w:szCs w:val="22"/>
        </w:rPr>
        <w:t xml:space="preserve">Return to </w:t>
      </w:r>
      <w:r w:rsidRPr="00887DC1">
        <w:rPr>
          <w:rFonts w:ascii="Arial" w:hAnsi="Arial"/>
          <w:b/>
          <w:i/>
          <w:sz w:val="22"/>
          <w:szCs w:val="22"/>
        </w:rPr>
        <w:t>status quo ante</w:t>
      </w:r>
      <w:r>
        <w:rPr>
          <w:rFonts w:ascii="Arial" w:hAnsi="Arial"/>
          <w:b/>
          <w:i/>
          <w:sz w:val="22"/>
          <w:szCs w:val="22"/>
        </w:rPr>
        <w:t>?</w:t>
      </w:r>
    </w:p>
    <w:p w14:paraId="7462A0C2" w14:textId="77777777" w:rsidR="00887DC1" w:rsidRPr="00887DC1" w:rsidRDefault="00887DC1" w:rsidP="00887DC1">
      <w:pPr>
        <w:ind w:left="568"/>
        <w:rPr>
          <w:rFonts w:ascii="Arial" w:hAnsi="Arial"/>
          <w:b/>
          <w:i/>
          <w:sz w:val="22"/>
          <w:szCs w:val="22"/>
        </w:rPr>
      </w:pPr>
    </w:p>
    <w:p w14:paraId="28037FEC" w14:textId="0A0B3709" w:rsidR="00887DC1" w:rsidRDefault="00887DC1" w:rsidP="00A954D8">
      <w:pPr>
        <w:pStyle w:val="ListParagraph"/>
        <w:numPr>
          <w:ilvl w:val="0"/>
          <w:numId w:val="1"/>
        </w:numPr>
        <w:rPr>
          <w:rFonts w:ascii="Arial" w:hAnsi="Arial"/>
          <w:sz w:val="22"/>
          <w:szCs w:val="22"/>
        </w:rPr>
      </w:pPr>
      <w:r w:rsidRPr="00887DC1">
        <w:rPr>
          <w:rFonts w:ascii="Arial" w:hAnsi="Arial"/>
          <w:sz w:val="22"/>
          <w:szCs w:val="22"/>
        </w:rPr>
        <w:t>CRU respectfully disagrees</w:t>
      </w:r>
      <w:r>
        <w:rPr>
          <w:rFonts w:ascii="Arial" w:hAnsi="Arial"/>
          <w:sz w:val="22"/>
          <w:szCs w:val="22"/>
        </w:rPr>
        <w:t xml:space="preserve"> with the understanding expressed at [56] of the interim decision.  The withdrawals which were in issue in the </w:t>
      </w:r>
      <w:r w:rsidRPr="00887DC1">
        <w:rPr>
          <w:rFonts w:ascii="Arial" w:hAnsi="Arial"/>
          <w:i/>
          <w:sz w:val="22"/>
          <w:szCs w:val="22"/>
        </w:rPr>
        <w:t xml:space="preserve">West Coast </w:t>
      </w:r>
      <w:r>
        <w:rPr>
          <w:rFonts w:ascii="Arial" w:hAnsi="Arial"/>
          <w:sz w:val="22"/>
          <w:szCs w:val="22"/>
        </w:rPr>
        <w:t xml:space="preserve">decision are not comparable, in a legal sense, to those contemplated here.  Indeed that is one of the problems in transferring the </w:t>
      </w:r>
      <w:r w:rsidRPr="00887DC1">
        <w:rPr>
          <w:rFonts w:ascii="Arial" w:hAnsi="Arial"/>
          <w:i/>
          <w:sz w:val="22"/>
          <w:szCs w:val="22"/>
        </w:rPr>
        <w:t>West Coast</w:t>
      </w:r>
      <w:r>
        <w:rPr>
          <w:rFonts w:ascii="Arial" w:hAnsi="Arial"/>
          <w:sz w:val="22"/>
          <w:szCs w:val="22"/>
        </w:rPr>
        <w:t xml:space="preserve"> approach </w:t>
      </w:r>
      <w:r w:rsidR="007B1541">
        <w:rPr>
          <w:rFonts w:ascii="Arial" w:hAnsi="Arial"/>
          <w:sz w:val="22"/>
          <w:szCs w:val="22"/>
        </w:rPr>
        <w:t xml:space="preserve">on Clause 8D </w:t>
      </w:r>
      <w:r>
        <w:rPr>
          <w:rFonts w:ascii="Arial" w:hAnsi="Arial"/>
          <w:sz w:val="22"/>
          <w:szCs w:val="22"/>
        </w:rPr>
        <w:t>to this situation.</w:t>
      </w:r>
    </w:p>
    <w:p w14:paraId="705836C1" w14:textId="77777777" w:rsidR="00887DC1" w:rsidRPr="00887DC1" w:rsidRDefault="00887DC1" w:rsidP="00887DC1">
      <w:pPr>
        <w:ind w:left="568"/>
        <w:rPr>
          <w:rFonts w:ascii="Arial" w:hAnsi="Arial"/>
          <w:sz w:val="22"/>
          <w:szCs w:val="22"/>
        </w:rPr>
      </w:pPr>
    </w:p>
    <w:p w14:paraId="0F3C3937" w14:textId="6B4B04BF" w:rsidR="000C0A39" w:rsidRPr="000C0A39" w:rsidRDefault="00887DC1" w:rsidP="00A954D8">
      <w:pPr>
        <w:pStyle w:val="ListParagraph"/>
        <w:numPr>
          <w:ilvl w:val="0"/>
          <w:numId w:val="1"/>
        </w:numPr>
      </w:pPr>
      <w:r>
        <w:rPr>
          <w:rFonts w:ascii="Arial" w:hAnsi="Arial" w:cs="Arial"/>
          <w:sz w:val="22"/>
          <w:szCs w:val="22"/>
        </w:rPr>
        <w:t xml:space="preserve">In the </w:t>
      </w:r>
      <w:r w:rsidRPr="000C0A39">
        <w:rPr>
          <w:rFonts w:ascii="Arial" w:hAnsi="Arial" w:cs="Arial"/>
          <w:i/>
          <w:sz w:val="22"/>
          <w:szCs w:val="22"/>
        </w:rPr>
        <w:t>West Coast</w:t>
      </w:r>
      <w:r>
        <w:rPr>
          <w:rFonts w:ascii="Arial" w:hAnsi="Arial" w:cs="Arial"/>
          <w:sz w:val="22"/>
          <w:szCs w:val="22"/>
        </w:rPr>
        <w:t xml:space="preserve"> case the effect of the withdrawals was that the activities which were to be managed by the proposed regional plan remained, after the withdrawals, entirely subject to sections 13 and 14 of the Act.  There was no relevant operative plan for those activities.  Moreover the 'reve</w:t>
      </w:r>
      <w:r w:rsidR="000C0A39">
        <w:rPr>
          <w:rFonts w:ascii="Arial" w:hAnsi="Arial" w:cs="Arial"/>
          <w:sz w:val="22"/>
          <w:szCs w:val="22"/>
        </w:rPr>
        <w:t>rsion</w:t>
      </w:r>
      <w:r w:rsidR="007B1541">
        <w:rPr>
          <w:rFonts w:ascii="Arial" w:hAnsi="Arial" w:cs="Arial"/>
          <w:sz w:val="22"/>
          <w:szCs w:val="22"/>
        </w:rPr>
        <w:t>'</w:t>
      </w:r>
      <w:r w:rsidR="000C0A39">
        <w:rPr>
          <w:rFonts w:ascii="Arial" w:hAnsi="Arial" w:cs="Arial"/>
          <w:sz w:val="22"/>
          <w:szCs w:val="22"/>
        </w:rPr>
        <w:t xml:space="preserve"> was a very short term one</w:t>
      </w:r>
      <w:r>
        <w:rPr>
          <w:rFonts w:ascii="Arial" w:hAnsi="Arial" w:cs="Arial"/>
          <w:sz w:val="22"/>
          <w:szCs w:val="22"/>
        </w:rPr>
        <w:t>, because even by the time the</w:t>
      </w:r>
      <w:r w:rsidR="000C0A39">
        <w:rPr>
          <w:rFonts w:ascii="Arial" w:hAnsi="Arial" w:cs="Arial"/>
          <w:sz w:val="22"/>
          <w:szCs w:val="22"/>
        </w:rPr>
        <w:t xml:space="preserve"> Environment Court had heard the matter on which its decision was appealed to the High Court, the Council had notified a variation. </w:t>
      </w:r>
    </w:p>
    <w:p w14:paraId="037E49EB" w14:textId="77777777" w:rsidR="000C0A39" w:rsidRPr="000C0A39" w:rsidRDefault="000C0A39" w:rsidP="000C0A39">
      <w:pPr>
        <w:ind w:left="568"/>
      </w:pPr>
    </w:p>
    <w:p w14:paraId="2CD9E9EA" w14:textId="5F37D1F6" w:rsidR="000C0A39" w:rsidRPr="000C0A39" w:rsidRDefault="000C0A39" w:rsidP="00A954D8">
      <w:pPr>
        <w:pStyle w:val="ListParagraph"/>
        <w:numPr>
          <w:ilvl w:val="0"/>
          <w:numId w:val="1"/>
        </w:numPr>
      </w:pPr>
      <w:r>
        <w:rPr>
          <w:rFonts w:ascii="Arial" w:hAnsi="Arial" w:cs="Arial"/>
          <w:sz w:val="22"/>
          <w:szCs w:val="22"/>
        </w:rPr>
        <w:t>In this case</w:t>
      </w:r>
      <w:r w:rsidR="007B1541">
        <w:rPr>
          <w:rFonts w:ascii="Arial" w:hAnsi="Arial" w:cs="Arial"/>
          <w:sz w:val="22"/>
          <w:szCs w:val="22"/>
        </w:rPr>
        <w:t>,</w:t>
      </w:r>
      <w:r>
        <w:rPr>
          <w:rFonts w:ascii="Arial" w:hAnsi="Arial" w:cs="Arial"/>
          <w:sz w:val="22"/>
          <w:szCs w:val="22"/>
        </w:rPr>
        <w:t xml:space="preserve"> the Operative District Plan remains in force in its entirety until the current PDP is approved, and at that stage the ODP provisions will gradually case the have effect, except for those which will remain in force to cover the matters affected by the PDP withdrawals which are in issue here.  However as CRU noted in the evidence, the Co</w:t>
      </w:r>
      <w:r w:rsidR="00B0378A">
        <w:rPr>
          <w:rFonts w:ascii="Arial" w:hAnsi="Arial" w:cs="Arial"/>
          <w:sz w:val="22"/>
          <w:szCs w:val="22"/>
        </w:rPr>
        <w:t xml:space="preserve">uncil had no idea what these </w:t>
      </w:r>
      <w:r w:rsidR="007B1541">
        <w:rPr>
          <w:rFonts w:ascii="Arial" w:hAnsi="Arial" w:cs="Arial"/>
          <w:sz w:val="22"/>
          <w:szCs w:val="22"/>
        </w:rPr>
        <w:t xml:space="preserve">ODP </w:t>
      </w:r>
      <w:r w:rsidR="00B0378A">
        <w:rPr>
          <w:rFonts w:ascii="Arial" w:hAnsi="Arial" w:cs="Arial"/>
          <w:sz w:val="22"/>
          <w:szCs w:val="22"/>
        </w:rPr>
        <w:t>pr</w:t>
      </w:r>
      <w:r>
        <w:rPr>
          <w:rFonts w:ascii="Arial" w:hAnsi="Arial" w:cs="Arial"/>
          <w:sz w:val="22"/>
          <w:szCs w:val="22"/>
        </w:rPr>
        <w:t>ov</w:t>
      </w:r>
      <w:r w:rsidR="00B0378A">
        <w:rPr>
          <w:rFonts w:ascii="Arial" w:hAnsi="Arial" w:cs="Arial"/>
          <w:sz w:val="22"/>
          <w:szCs w:val="22"/>
        </w:rPr>
        <w:t>i</w:t>
      </w:r>
      <w:r>
        <w:rPr>
          <w:rFonts w:ascii="Arial" w:hAnsi="Arial" w:cs="Arial"/>
          <w:sz w:val="22"/>
          <w:szCs w:val="22"/>
        </w:rPr>
        <w:t xml:space="preserve">sions were when it undertook the withdrawals.  In this situation it is </w:t>
      </w:r>
      <w:r w:rsidR="007B1541">
        <w:rPr>
          <w:rFonts w:ascii="Arial" w:hAnsi="Arial" w:cs="Arial"/>
          <w:sz w:val="22"/>
          <w:szCs w:val="22"/>
        </w:rPr>
        <w:t xml:space="preserve">almost </w:t>
      </w:r>
      <w:r>
        <w:rPr>
          <w:rFonts w:ascii="Arial" w:hAnsi="Arial" w:cs="Arial"/>
          <w:sz w:val="22"/>
          <w:szCs w:val="22"/>
        </w:rPr>
        <w:t xml:space="preserve">meaningless to refer to a </w:t>
      </w:r>
      <w:r w:rsidRPr="000C0A39">
        <w:rPr>
          <w:rFonts w:ascii="Arial" w:hAnsi="Arial" w:cs="Arial"/>
          <w:i/>
          <w:sz w:val="22"/>
          <w:szCs w:val="22"/>
        </w:rPr>
        <w:t>status quo ante</w:t>
      </w:r>
      <w:r w:rsidR="00B0378A">
        <w:rPr>
          <w:rFonts w:ascii="Arial" w:hAnsi="Arial" w:cs="Arial"/>
          <w:sz w:val="22"/>
          <w:szCs w:val="22"/>
        </w:rPr>
        <w:t xml:space="preserve"> over the indefin</w:t>
      </w:r>
      <w:r>
        <w:rPr>
          <w:rFonts w:ascii="Arial" w:hAnsi="Arial" w:cs="Arial"/>
          <w:sz w:val="22"/>
          <w:szCs w:val="22"/>
        </w:rPr>
        <w:t xml:space="preserve">ite period of years anticipated by the Council before it will do anything further.  </w:t>
      </w:r>
    </w:p>
    <w:p w14:paraId="0457CD13" w14:textId="77777777" w:rsidR="000C0A39" w:rsidRPr="000C0A39" w:rsidRDefault="000C0A39" w:rsidP="000C0A39">
      <w:pPr>
        <w:ind w:left="568"/>
      </w:pPr>
    </w:p>
    <w:p w14:paraId="67AA6939" w14:textId="74546666" w:rsidR="00A954D8" w:rsidRPr="00755D28" w:rsidRDefault="000C0A39" w:rsidP="00A954D8">
      <w:pPr>
        <w:pStyle w:val="ListParagraph"/>
        <w:numPr>
          <w:ilvl w:val="0"/>
          <w:numId w:val="1"/>
        </w:numPr>
      </w:pPr>
      <w:r>
        <w:rPr>
          <w:rFonts w:ascii="Arial" w:hAnsi="Arial" w:cs="Arial"/>
          <w:sz w:val="22"/>
          <w:szCs w:val="22"/>
        </w:rPr>
        <w:t>CRU accepts that the Council recently (in late October 2016) identified a list of ODP provisions which it claimed would remain in force</w:t>
      </w:r>
      <w:r w:rsidR="00A954D8">
        <w:rPr>
          <w:rFonts w:ascii="Arial" w:hAnsi="Arial" w:cs="Arial"/>
          <w:sz w:val="22"/>
          <w:szCs w:val="22"/>
        </w:rPr>
        <w:t xml:space="preserve"> </w:t>
      </w:r>
      <w:r>
        <w:rPr>
          <w:rFonts w:ascii="Arial" w:hAnsi="Arial" w:cs="Arial"/>
          <w:sz w:val="22"/>
          <w:szCs w:val="22"/>
        </w:rPr>
        <w:t xml:space="preserve">when the rest of the PDP was operative.  But as Mr Beverley </w:t>
      </w:r>
      <w:r w:rsidR="00B44DAF">
        <w:rPr>
          <w:rFonts w:ascii="Arial" w:hAnsi="Arial" w:cs="Arial"/>
          <w:sz w:val="22"/>
          <w:szCs w:val="22"/>
        </w:rPr>
        <w:t>appeared to acknowledge</w:t>
      </w:r>
      <w:bookmarkStart w:id="0" w:name="_GoBack"/>
      <w:bookmarkEnd w:id="0"/>
      <w:r w:rsidR="00B44DAF">
        <w:rPr>
          <w:rFonts w:ascii="Arial" w:hAnsi="Arial" w:cs="Arial"/>
          <w:sz w:val="22"/>
          <w:szCs w:val="22"/>
        </w:rPr>
        <w:t xml:space="preserve"> (p.46 transcript)</w:t>
      </w:r>
      <w:r>
        <w:rPr>
          <w:rFonts w:ascii="Arial" w:hAnsi="Arial" w:cs="Arial"/>
          <w:sz w:val="22"/>
          <w:szCs w:val="22"/>
        </w:rPr>
        <w:t>, this list has no legal status and i</w:t>
      </w:r>
      <w:r w:rsidR="00B0378A">
        <w:rPr>
          <w:rFonts w:ascii="Arial" w:hAnsi="Arial" w:cs="Arial"/>
          <w:sz w:val="22"/>
          <w:szCs w:val="22"/>
        </w:rPr>
        <w:t>s not even binding on the Counci</w:t>
      </w:r>
      <w:r>
        <w:rPr>
          <w:rFonts w:ascii="Arial" w:hAnsi="Arial" w:cs="Arial"/>
          <w:sz w:val="22"/>
          <w:szCs w:val="22"/>
        </w:rPr>
        <w:t>l itself</w:t>
      </w:r>
      <w:r w:rsidR="0064228E">
        <w:rPr>
          <w:rFonts w:ascii="Arial" w:hAnsi="Arial" w:cs="Arial"/>
          <w:sz w:val="22"/>
          <w:szCs w:val="22"/>
        </w:rPr>
        <w:t>.</w:t>
      </w:r>
    </w:p>
    <w:p w14:paraId="0F93A679" w14:textId="77777777" w:rsidR="00A954D8" w:rsidRPr="00755D28" w:rsidRDefault="00A954D8" w:rsidP="00A954D8">
      <w:pPr>
        <w:ind w:left="568"/>
      </w:pPr>
    </w:p>
    <w:p w14:paraId="6631111F" w14:textId="5B5685D5" w:rsidR="00986BC1" w:rsidRPr="00986BC1" w:rsidRDefault="00027BB2" w:rsidP="00986BC1">
      <w:pPr>
        <w:pStyle w:val="ListParagraph"/>
        <w:numPr>
          <w:ilvl w:val="0"/>
          <w:numId w:val="1"/>
        </w:numPr>
      </w:pPr>
      <w:r>
        <w:rPr>
          <w:rFonts w:ascii="Arial" w:hAnsi="Arial" w:cs="Arial"/>
          <w:sz w:val="22"/>
          <w:szCs w:val="22"/>
        </w:rPr>
        <w:t xml:space="preserve">It is trite law that Plan provisions must be certain.  The </w:t>
      </w:r>
      <w:r w:rsidRPr="00027BB2">
        <w:rPr>
          <w:rFonts w:ascii="Arial" w:hAnsi="Arial" w:cs="Arial"/>
          <w:i/>
          <w:sz w:val="22"/>
          <w:szCs w:val="22"/>
        </w:rPr>
        <w:t>status quo ante</w:t>
      </w:r>
      <w:r>
        <w:rPr>
          <w:rFonts w:ascii="Arial" w:hAnsi="Arial" w:cs="Arial"/>
          <w:sz w:val="22"/>
          <w:szCs w:val="22"/>
        </w:rPr>
        <w:t xml:space="preserve"> relied on here by the Council fails that requirement by a large margin.   No one can have any certainty, on the Council's approach, on just what ODP provisions will remain in force over the next few years and where they will apply.  This is utterly different to a reversion back to statutory 'default' provisions as in </w:t>
      </w:r>
      <w:r w:rsidRPr="00027BB2">
        <w:rPr>
          <w:rFonts w:ascii="Arial" w:hAnsi="Arial" w:cs="Arial"/>
          <w:i/>
          <w:sz w:val="22"/>
          <w:szCs w:val="22"/>
        </w:rPr>
        <w:t>West Coast</w:t>
      </w:r>
      <w:r>
        <w:rPr>
          <w:rFonts w:ascii="Arial" w:hAnsi="Arial" w:cs="Arial"/>
          <w:sz w:val="22"/>
          <w:szCs w:val="22"/>
        </w:rPr>
        <w:t xml:space="preserve">.  </w:t>
      </w:r>
      <w:r w:rsidR="00A954D8">
        <w:rPr>
          <w:rFonts w:ascii="Arial" w:hAnsi="Arial" w:cs="Arial"/>
          <w:sz w:val="22"/>
          <w:szCs w:val="22"/>
        </w:rPr>
        <w:t xml:space="preserve">There </w:t>
      </w:r>
      <w:r w:rsidR="0064228E">
        <w:rPr>
          <w:rFonts w:ascii="Arial" w:hAnsi="Arial" w:cs="Arial"/>
          <w:sz w:val="22"/>
          <w:szCs w:val="22"/>
        </w:rPr>
        <w:t xml:space="preserve">is therefore no </w:t>
      </w:r>
      <w:r w:rsidR="0064228E" w:rsidRPr="0064228E">
        <w:rPr>
          <w:rFonts w:ascii="Arial" w:hAnsi="Arial" w:cs="Arial"/>
          <w:i/>
          <w:sz w:val="22"/>
          <w:szCs w:val="22"/>
        </w:rPr>
        <w:t>status quo ante</w:t>
      </w:r>
      <w:r w:rsidR="00A954D8">
        <w:rPr>
          <w:rFonts w:ascii="Arial" w:hAnsi="Arial" w:cs="Arial"/>
          <w:sz w:val="22"/>
          <w:szCs w:val="22"/>
        </w:rPr>
        <w:t xml:space="preserve"> </w:t>
      </w:r>
      <w:r w:rsidR="0064228E">
        <w:rPr>
          <w:rFonts w:ascii="Arial" w:hAnsi="Arial" w:cs="Arial"/>
          <w:sz w:val="22"/>
          <w:szCs w:val="22"/>
        </w:rPr>
        <w:t xml:space="preserve">in the </w:t>
      </w:r>
      <w:r w:rsidR="0064228E" w:rsidRPr="00027BB2">
        <w:rPr>
          <w:rFonts w:ascii="Arial" w:hAnsi="Arial" w:cs="Arial"/>
          <w:i/>
          <w:sz w:val="22"/>
          <w:szCs w:val="22"/>
        </w:rPr>
        <w:t>West Coast</w:t>
      </w:r>
      <w:r w:rsidR="0064228E">
        <w:rPr>
          <w:rFonts w:ascii="Arial" w:hAnsi="Arial" w:cs="Arial"/>
          <w:sz w:val="22"/>
          <w:szCs w:val="22"/>
        </w:rPr>
        <w:t xml:space="preserve"> sense</w:t>
      </w:r>
      <w:r w:rsidR="00986BC1">
        <w:rPr>
          <w:rFonts w:ascii="Arial" w:hAnsi="Arial" w:cs="Arial"/>
          <w:sz w:val="22"/>
          <w:szCs w:val="22"/>
        </w:rPr>
        <w:t>.</w:t>
      </w:r>
    </w:p>
    <w:p w14:paraId="5AF72FA5" w14:textId="77777777" w:rsidR="00986BC1" w:rsidRDefault="00986BC1" w:rsidP="00986BC1">
      <w:pPr>
        <w:ind w:left="568"/>
      </w:pPr>
    </w:p>
    <w:p w14:paraId="449A21B0" w14:textId="724DA0C5" w:rsidR="00986BC1" w:rsidRDefault="00027BB2" w:rsidP="00986BC1">
      <w:pPr>
        <w:ind w:left="568"/>
        <w:rPr>
          <w:rFonts w:ascii="Arial" w:hAnsi="Arial"/>
          <w:b/>
          <w:sz w:val="22"/>
          <w:szCs w:val="22"/>
        </w:rPr>
      </w:pPr>
      <w:r>
        <w:rPr>
          <w:rFonts w:ascii="Arial" w:hAnsi="Arial"/>
          <w:b/>
          <w:sz w:val="22"/>
          <w:szCs w:val="22"/>
        </w:rPr>
        <w:t>Cla</w:t>
      </w:r>
      <w:r w:rsidR="00986BC1" w:rsidRPr="00027BB2">
        <w:rPr>
          <w:rFonts w:ascii="Arial" w:hAnsi="Arial"/>
          <w:b/>
          <w:sz w:val="22"/>
          <w:szCs w:val="22"/>
        </w:rPr>
        <w:t>u</w:t>
      </w:r>
      <w:r>
        <w:rPr>
          <w:rFonts w:ascii="Arial" w:hAnsi="Arial"/>
          <w:b/>
          <w:sz w:val="22"/>
          <w:szCs w:val="22"/>
        </w:rPr>
        <w:t>s</w:t>
      </w:r>
      <w:r w:rsidR="00986BC1" w:rsidRPr="00027BB2">
        <w:rPr>
          <w:rFonts w:ascii="Arial" w:hAnsi="Arial"/>
          <w:b/>
          <w:sz w:val="22"/>
          <w:szCs w:val="22"/>
        </w:rPr>
        <w:t>e 16</w:t>
      </w:r>
    </w:p>
    <w:p w14:paraId="271DA638" w14:textId="77777777" w:rsidR="00027BB2" w:rsidRPr="00027BB2" w:rsidRDefault="00027BB2" w:rsidP="00986BC1">
      <w:pPr>
        <w:ind w:left="568"/>
        <w:rPr>
          <w:rFonts w:ascii="Arial" w:hAnsi="Arial"/>
          <w:b/>
          <w:sz w:val="22"/>
          <w:szCs w:val="22"/>
        </w:rPr>
      </w:pPr>
    </w:p>
    <w:p w14:paraId="2E661F9D" w14:textId="07EA07B4" w:rsidR="00A954D8" w:rsidRPr="00E64553" w:rsidRDefault="00027BB2" w:rsidP="00A954D8">
      <w:pPr>
        <w:pStyle w:val="ListParagraph"/>
        <w:numPr>
          <w:ilvl w:val="0"/>
          <w:numId w:val="1"/>
        </w:numPr>
      </w:pPr>
      <w:r>
        <w:rPr>
          <w:rFonts w:ascii="Arial" w:hAnsi="Arial"/>
          <w:sz w:val="22"/>
          <w:szCs w:val="22"/>
        </w:rPr>
        <w:t>CRU understands that Council does not propose to rely on Clause 16(2), in part at least because of CRU's position</w:t>
      </w:r>
      <w:r w:rsidR="00FA4C8F">
        <w:rPr>
          <w:rFonts w:ascii="Arial" w:hAnsi="Arial"/>
          <w:sz w:val="22"/>
          <w:szCs w:val="22"/>
        </w:rPr>
        <w:t>.  For that reason, the following submissions are shorter than they might otherwise be.</w:t>
      </w:r>
    </w:p>
    <w:p w14:paraId="1ED79198" w14:textId="77777777" w:rsidR="00A954D8" w:rsidRPr="00E64553" w:rsidRDefault="00A954D8" w:rsidP="00A954D8">
      <w:pPr>
        <w:ind w:left="568"/>
      </w:pPr>
    </w:p>
    <w:p w14:paraId="3A4A159E" w14:textId="452EEF88" w:rsidR="00FA4C8F" w:rsidRDefault="00FA4C8F" w:rsidP="00A954D8">
      <w:pPr>
        <w:pStyle w:val="ListParagraph"/>
        <w:numPr>
          <w:ilvl w:val="0"/>
          <w:numId w:val="1"/>
        </w:numPr>
        <w:rPr>
          <w:rFonts w:ascii="Arial" w:hAnsi="Arial" w:cs="Arial"/>
          <w:sz w:val="22"/>
          <w:szCs w:val="22"/>
        </w:rPr>
      </w:pPr>
      <w:r>
        <w:rPr>
          <w:rFonts w:ascii="Arial" w:hAnsi="Arial" w:cs="Arial"/>
          <w:sz w:val="22"/>
          <w:szCs w:val="22"/>
        </w:rPr>
        <w:t>CRU's position on Clause 16(2) was covered at paras. 83-84 and 93 of the submissions given at the hearing.  It is a slip rule whose utility is limited to the correction of minor material, and it cannot be used to make changes to a proposed plan where those changes affect substa</w:t>
      </w:r>
      <w:r w:rsidR="00B0378A">
        <w:rPr>
          <w:rFonts w:ascii="Arial" w:hAnsi="Arial" w:cs="Arial"/>
          <w:sz w:val="22"/>
          <w:szCs w:val="22"/>
        </w:rPr>
        <w:t>n</w:t>
      </w:r>
      <w:r>
        <w:rPr>
          <w:rFonts w:ascii="Arial" w:hAnsi="Arial" w:cs="Arial"/>
          <w:sz w:val="22"/>
          <w:szCs w:val="22"/>
        </w:rPr>
        <w:t>tive positions on which submissions might have been made.</w:t>
      </w:r>
    </w:p>
    <w:p w14:paraId="019AFA29" w14:textId="77777777" w:rsidR="00FA4C8F" w:rsidRPr="00FA4C8F" w:rsidRDefault="00FA4C8F" w:rsidP="00FA4C8F">
      <w:pPr>
        <w:ind w:left="568"/>
        <w:rPr>
          <w:rFonts w:ascii="Arial" w:hAnsi="Arial" w:cs="Arial"/>
          <w:sz w:val="22"/>
          <w:szCs w:val="22"/>
        </w:rPr>
      </w:pPr>
    </w:p>
    <w:p w14:paraId="23A49A76" w14:textId="77777777" w:rsidR="00FA4C8F" w:rsidRDefault="00FA4C8F" w:rsidP="00A954D8">
      <w:pPr>
        <w:pStyle w:val="ListParagraph"/>
        <w:numPr>
          <w:ilvl w:val="0"/>
          <w:numId w:val="1"/>
        </w:numPr>
        <w:rPr>
          <w:rFonts w:ascii="Arial" w:hAnsi="Arial" w:cs="Arial"/>
          <w:sz w:val="22"/>
          <w:szCs w:val="22"/>
        </w:rPr>
      </w:pPr>
      <w:r>
        <w:rPr>
          <w:rFonts w:ascii="Arial" w:hAnsi="Arial" w:cs="Arial"/>
          <w:sz w:val="22"/>
          <w:szCs w:val="22"/>
        </w:rPr>
        <w:t>Specifically Clause 16(2) cannot be used here to make 'corrections' or amendments where</w:t>
      </w:r>
    </w:p>
    <w:p w14:paraId="625EC5F4" w14:textId="048542DF" w:rsidR="00FA4C8F" w:rsidRPr="00FA4C8F" w:rsidRDefault="00FA4C8F" w:rsidP="00FA4C8F">
      <w:pPr>
        <w:pStyle w:val="ListParagraph"/>
        <w:numPr>
          <w:ilvl w:val="0"/>
          <w:numId w:val="3"/>
        </w:numPr>
        <w:rPr>
          <w:rFonts w:ascii="Arial" w:hAnsi="Arial" w:cs="Arial"/>
          <w:sz w:val="22"/>
          <w:szCs w:val="22"/>
        </w:rPr>
      </w:pPr>
      <w:r w:rsidRPr="00FA4C8F">
        <w:rPr>
          <w:rFonts w:ascii="Arial" w:hAnsi="Arial" w:cs="Arial"/>
          <w:sz w:val="22"/>
          <w:szCs w:val="22"/>
        </w:rPr>
        <w:t>plan provisions affect substantive rights or expectations</w:t>
      </w:r>
    </w:p>
    <w:p w14:paraId="68DD1541" w14:textId="44F290FA" w:rsidR="00FA4C8F" w:rsidRDefault="007B1541" w:rsidP="00FA4C8F">
      <w:pPr>
        <w:pStyle w:val="ListParagraph"/>
        <w:numPr>
          <w:ilvl w:val="0"/>
          <w:numId w:val="3"/>
        </w:numPr>
        <w:rPr>
          <w:rFonts w:ascii="Arial" w:hAnsi="Arial" w:cs="Arial"/>
          <w:sz w:val="22"/>
          <w:szCs w:val="22"/>
        </w:rPr>
      </w:pPr>
      <w:r>
        <w:rPr>
          <w:rFonts w:ascii="Arial" w:hAnsi="Arial" w:cs="Arial"/>
          <w:sz w:val="22"/>
          <w:szCs w:val="22"/>
        </w:rPr>
        <w:t>or plan provisions</w:t>
      </w:r>
      <w:r w:rsidR="00FA4C8F" w:rsidRPr="00FA4C8F">
        <w:rPr>
          <w:rFonts w:ascii="Arial" w:hAnsi="Arial" w:cs="Arial"/>
          <w:sz w:val="22"/>
          <w:szCs w:val="22"/>
        </w:rPr>
        <w:t xml:space="preserve"> were unlawfully modified through the withdrawal process</w:t>
      </w:r>
    </w:p>
    <w:p w14:paraId="558B912B" w14:textId="28B0A276" w:rsidR="00FA4C8F" w:rsidRPr="00FA4C8F" w:rsidRDefault="007B1541" w:rsidP="00FA4C8F">
      <w:pPr>
        <w:pStyle w:val="ListParagraph"/>
        <w:numPr>
          <w:ilvl w:val="0"/>
          <w:numId w:val="3"/>
        </w:numPr>
        <w:rPr>
          <w:rFonts w:ascii="Arial" w:hAnsi="Arial" w:cs="Arial"/>
          <w:sz w:val="22"/>
          <w:szCs w:val="22"/>
        </w:rPr>
      </w:pPr>
      <w:r>
        <w:rPr>
          <w:rFonts w:ascii="Arial" w:hAnsi="Arial" w:cs="Arial"/>
          <w:sz w:val="22"/>
          <w:szCs w:val="22"/>
        </w:rPr>
        <w:t xml:space="preserve">or </w:t>
      </w:r>
      <w:r w:rsidR="00FA4C8F">
        <w:rPr>
          <w:rFonts w:ascii="Arial" w:hAnsi="Arial" w:cs="Arial"/>
          <w:sz w:val="22"/>
          <w:szCs w:val="22"/>
        </w:rPr>
        <w:t>to avoid notification</w:t>
      </w:r>
      <w:r w:rsidR="00ED1E14">
        <w:rPr>
          <w:rFonts w:ascii="Arial" w:hAnsi="Arial" w:cs="Arial"/>
          <w:sz w:val="22"/>
          <w:szCs w:val="22"/>
        </w:rPr>
        <w:t>,</w:t>
      </w:r>
      <w:r w:rsidR="00FA4C8F">
        <w:rPr>
          <w:rFonts w:ascii="Arial" w:hAnsi="Arial" w:cs="Arial"/>
          <w:sz w:val="22"/>
          <w:szCs w:val="22"/>
        </w:rPr>
        <w:t xml:space="preserve"> or defeat an expectation of notification</w:t>
      </w:r>
    </w:p>
    <w:p w14:paraId="076319D7" w14:textId="77777777" w:rsidR="00FA4C8F" w:rsidRPr="00ED1E14" w:rsidRDefault="00FA4C8F" w:rsidP="00ED1E14">
      <w:pPr>
        <w:ind w:left="568"/>
        <w:rPr>
          <w:rFonts w:ascii="Arial" w:hAnsi="Arial" w:cs="Arial"/>
          <w:sz w:val="22"/>
          <w:szCs w:val="22"/>
        </w:rPr>
      </w:pPr>
    </w:p>
    <w:p w14:paraId="0FF5C835" w14:textId="77777777" w:rsidR="00ED1E14" w:rsidRDefault="00ED1E14" w:rsidP="00A954D8">
      <w:pPr>
        <w:pStyle w:val="ListParagraph"/>
        <w:numPr>
          <w:ilvl w:val="0"/>
          <w:numId w:val="1"/>
        </w:numPr>
        <w:rPr>
          <w:rFonts w:ascii="Arial" w:hAnsi="Arial" w:cs="Arial"/>
          <w:sz w:val="22"/>
          <w:szCs w:val="22"/>
        </w:rPr>
      </w:pPr>
      <w:r>
        <w:rPr>
          <w:rFonts w:ascii="Arial" w:hAnsi="Arial" w:cs="Arial"/>
          <w:sz w:val="22"/>
          <w:szCs w:val="22"/>
        </w:rPr>
        <w:t xml:space="preserve">CRU's position is that none of the examples it gave of the misuse of Clause 8D can be corrected through Clause 16(2) for the reasons above.  However there are lesser errors not which </w:t>
      </w:r>
      <w:r w:rsidRPr="00ED1E14">
        <w:rPr>
          <w:rFonts w:ascii="Arial" w:hAnsi="Arial" w:cs="Arial"/>
          <w:i/>
          <w:sz w:val="22"/>
          <w:szCs w:val="22"/>
        </w:rPr>
        <w:t>could</w:t>
      </w:r>
      <w:r>
        <w:rPr>
          <w:rFonts w:ascii="Arial" w:hAnsi="Arial" w:cs="Arial"/>
          <w:sz w:val="22"/>
          <w:szCs w:val="22"/>
        </w:rPr>
        <w:t xml:space="preserve"> possibly be corrected by the use of this power.  An example would be the bizarre withdrawal of that part of the explanation/summary of the NZCPS relating to coastal hazards which is purely 'information'.  I turn to this point next.</w:t>
      </w:r>
    </w:p>
    <w:p w14:paraId="35608217" w14:textId="77777777" w:rsidR="00ED1E14" w:rsidRPr="00ED1E14" w:rsidRDefault="00ED1E14" w:rsidP="00ED1E14">
      <w:pPr>
        <w:ind w:left="568"/>
        <w:rPr>
          <w:rFonts w:ascii="Arial" w:hAnsi="Arial" w:cs="Arial"/>
          <w:sz w:val="22"/>
          <w:szCs w:val="22"/>
        </w:rPr>
      </w:pPr>
    </w:p>
    <w:p w14:paraId="4EF9399A" w14:textId="1B5541F7" w:rsidR="00A954D8" w:rsidRDefault="00ED1E14" w:rsidP="00A954D8">
      <w:pPr>
        <w:pStyle w:val="ListParagraph"/>
        <w:numPr>
          <w:ilvl w:val="0"/>
          <w:numId w:val="1"/>
        </w:numPr>
        <w:rPr>
          <w:rFonts w:ascii="Arial" w:hAnsi="Arial" w:cs="Arial"/>
          <w:sz w:val="22"/>
          <w:szCs w:val="22"/>
        </w:rPr>
      </w:pPr>
      <w:r>
        <w:rPr>
          <w:rFonts w:ascii="Arial" w:hAnsi="Arial" w:cs="Arial"/>
          <w:sz w:val="22"/>
          <w:szCs w:val="22"/>
        </w:rPr>
        <w:t xml:space="preserve">The interim decision posits at [60] that 'information' 'must refer to all the contents' of the PDP.  CRU respectfully disagrees and submits that the ambit of 'information' is </w:t>
      </w:r>
      <w:r w:rsidR="007B1541">
        <w:rPr>
          <w:rFonts w:ascii="Arial" w:hAnsi="Arial" w:cs="Arial"/>
          <w:sz w:val="22"/>
          <w:szCs w:val="22"/>
        </w:rPr>
        <w:t xml:space="preserve">very </w:t>
      </w:r>
      <w:r>
        <w:rPr>
          <w:rFonts w:ascii="Arial" w:hAnsi="Arial" w:cs="Arial"/>
          <w:sz w:val="22"/>
          <w:szCs w:val="22"/>
        </w:rPr>
        <w:t>narrow</w:t>
      </w:r>
      <w:r w:rsidR="00A954D8">
        <w:rPr>
          <w:rFonts w:ascii="Arial" w:hAnsi="Arial" w:cs="Arial"/>
          <w:sz w:val="22"/>
          <w:szCs w:val="22"/>
        </w:rPr>
        <w:t>.</w:t>
      </w:r>
      <w:r>
        <w:rPr>
          <w:rFonts w:ascii="Arial" w:hAnsi="Arial" w:cs="Arial"/>
          <w:sz w:val="22"/>
          <w:szCs w:val="22"/>
        </w:rPr>
        <w:t xml:space="preserve">  Many plans (including the Council's) include material which is purely 'information', an example being the explanation of the NZCPS referred to above.  </w:t>
      </w:r>
      <w:r w:rsidR="006370D6">
        <w:rPr>
          <w:rFonts w:ascii="Arial" w:hAnsi="Arial" w:cs="Arial"/>
          <w:sz w:val="22"/>
          <w:szCs w:val="22"/>
        </w:rPr>
        <w:t xml:space="preserve">Section 75(2) (g) and (h) allow a Plan to include 'information' but this provisions is distinct from other parts of (2) and from the obligations in (1).  </w:t>
      </w:r>
      <w:r>
        <w:rPr>
          <w:rFonts w:ascii="Arial" w:hAnsi="Arial" w:cs="Arial"/>
          <w:sz w:val="22"/>
          <w:szCs w:val="22"/>
        </w:rPr>
        <w:t>This information is intended to help an understanding of the Plan but is quite distinct from the provisions which have statutory effect - particularly objectives, policies and rules.  A rule, for example would not commonly be characterised as 'information'.</w:t>
      </w:r>
    </w:p>
    <w:p w14:paraId="6EB21830" w14:textId="77777777" w:rsidR="00ED1E14" w:rsidRPr="006370D6" w:rsidRDefault="00ED1E14" w:rsidP="006370D6">
      <w:pPr>
        <w:ind w:left="568"/>
        <w:rPr>
          <w:rFonts w:ascii="Arial" w:hAnsi="Arial" w:cs="Arial"/>
          <w:sz w:val="22"/>
          <w:szCs w:val="22"/>
        </w:rPr>
      </w:pPr>
    </w:p>
    <w:p w14:paraId="39ECFCC3" w14:textId="251CCB38" w:rsidR="00ED1E14" w:rsidRDefault="00ED1E14" w:rsidP="00A954D8">
      <w:pPr>
        <w:pStyle w:val="ListParagraph"/>
        <w:numPr>
          <w:ilvl w:val="0"/>
          <w:numId w:val="1"/>
        </w:numPr>
        <w:rPr>
          <w:rFonts w:ascii="Arial" w:hAnsi="Arial" w:cs="Arial"/>
          <w:sz w:val="22"/>
          <w:szCs w:val="22"/>
        </w:rPr>
      </w:pPr>
      <w:r>
        <w:rPr>
          <w:rFonts w:ascii="Arial" w:hAnsi="Arial" w:cs="Arial"/>
          <w:sz w:val="22"/>
          <w:szCs w:val="22"/>
        </w:rPr>
        <w:t xml:space="preserve">A conflation of all proposed plan provisions as 'information' moreover </w:t>
      </w:r>
      <w:r w:rsidR="006370D6">
        <w:rPr>
          <w:rFonts w:ascii="Arial" w:hAnsi="Arial" w:cs="Arial"/>
          <w:sz w:val="22"/>
          <w:szCs w:val="22"/>
        </w:rPr>
        <w:t xml:space="preserve">appears to make the second part of Clause 16(2) (correction of errors) redundant.  </w:t>
      </w:r>
    </w:p>
    <w:p w14:paraId="0F1148A6" w14:textId="77777777" w:rsidR="006370D6" w:rsidRPr="006370D6" w:rsidRDefault="006370D6" w:rsidP="006370D6">
      <w:pPr>
        <w:ind w:left="568"/>
        <w:rPr>
          <w:rFonts w:ascii="Arial" w:hAnsi="Arial" w:cs="Arial"/>
          <w:sz w:val="22"/>
          <w:szCs w:val="22"/>
        </w:rPr>
      </w:pPr>
    </w:p>
    <w:p w14:paraId="5CACDEAF" w14:textId="555B0C75" w:rsidR="006370D6" w:rsidRDefault="006370D6" w:rsidP="00A954D8">
      <w:pPr>
        <w:pStyle w:val="ListParagraph"/>
        <w:numPr>
          <w:ilvl w:val="0"/>
          <w:numId w:val="1"/>
        </w:numPr>
        <w:rPr>
          <w:rFonts w:ascii="Arial" w:hAnsi="Arial" w:cs="Arial"/>
          <w:sz w:val="22"/>
          <w:szCs w:val="22"/>
        </w:rPr>
      </w:pPr>
      <w:r>
        <w:rPr>
          <w:rFonts w:ascii="Arial" w:hAnsi="Arial" w:cs="Arial"/>
          <w:sz w:val="22"/>
          <w:szCs w:val="22"/>
        </w:rPr>
        <w:t xml:space="preserve">CRU would also resist the contention that the provisions in question are 'errors' in the slip rule sense.  Rather they are deliberate acts, even if </w:t>
      </w:r>
      <w:r w:rsidR="007B1541">
        <w:rPr>
          <w:rFonts w:ascii="Arial" w:hAnsi="Arial" w:cs="Arial"/>
          <w:sz w:val="22"/>
          <w:szCs w:val="22"/>
        </w:rPr>
        <w:t xml:space="preserve">based on </w:t>
      </w:r>
      <w:r>
        <w:rPr>
          <w:rFonts w:ascii="Arial" w:hAnsi="Arial" w:cs="Arial"/>
          <w:sz w:val="22"/>
          <w:szCs w:val="22"/>
        </w:rPr>
        <w:t>a lack of skill</w:t>
      </w:r>
      <w:r w:rsidR="007B1541">
        <w:rPr>
          <w:rFonts w:ascii="Arial" w:hAnsi="Arial" w:cs="Arial"/>
          <w:sz w:val="22"/>
          <w:szCs w:val="22"/>
        </w:rPr>
        <w:t xml:space="preserve"> or understanding of law and consequences</w:t>
      </w:r>
      <w:r>
        <w:rPr>
          <w:rFonts w:ascii="Arial" w:hAnsi="Arial" w:cs="Arial"/>
          <w:sz w:val="22"/>
          <w:szCs w:val="22"/>
        </w:rPr>
        <w:t>.</w:t>
      </w:r>
    </w:p>
    <w:p w14:paraId="77C45C05" w14:textId="77777777" w:rsidR="006370D6" w:rsidRDefault="006370D6" w:rsidP="006370D6">
      <w:pPr>
        <w:ind w:left="568"/>
        <w:rPr>
          <w:rFonts w:ascii="Arial" w:hAnsi="Arial" w:cs="Arial"/>
          <w:sz w:val="22"/>
          <w:szCs w:val="22"/>
        </w:rPr>
      </w:pPr>
    </w:p>
    <w:p w14:paraId="13C90B81" w14:textId="6321980D" w:rsidR="006370D6" w:rsidRPr="006370D6" w:rsidRDefault="006370D6" w:rsidP="006370D6">
      <w:pPr>
        <w:ind w:left="568"/>
        <w:rPr>
          <w:rFonts w:ascii="Arial" w:hAnsi="Arial" w:cs="Arial"/>
          <w:b/>
          <w:sz w:val="22"/>
          <w:szCs w:val="22"/>
        </w:rPr>
      </w:pPr>
      <w:r w:rsidRPr="006370D6">
        <w:rPr>
          <w:rFonts w:ascii="Arial" w:hAnsi="Arial" w:cs="Arial"/>
          <w:b/>
          <w:sz w:val="22"/>
          <w:szCs w:val="22"/>
        </w:rPr>
        <w:t>Declaration 2 should be made</w:t>
      </w:r>
    </w:p>
    <w:p w14:paraId="22CB0F95" w14:textId="77777777" w:rsidR="006370D6" w:rsidRPr="006370D6" w:rsidRDefault="006370D6" w:rsidP="006370D6">
      <w:pPr>
        <w:ind w:left="568"/>
        <w:rPr>
          <w:rFonts w:ascii="Arial" w:hAnsi="Arial" w:cs="Arial"/>
          <w:sz w:val="22"/>
          <w:szCs w:val="22"/>
        </w:rPr>
      </w:pPr>
    </w:p>
    <w:p w14:paraId="430B1CF5" w14:textId="33A2CFBE" w:rsidR="006370D6" w:rsidRDefault="006370D6" w:rsidP="00A954D8">
      <w:pPr>
        <w:pStyle w:val="ListParagraph"/>
        <w:numPr>
          <w:ilvl w:val="0"/>
          <w:numId w:val="1"/>
        </w:numPr>
        <w:rPr>
          <w:rFonts w:ascii="Arial" w:hAnsi="Arial" w:cs="Arial"/>
          <w:sz w:val="22"/>
          <w:szCs w:val="22"/>
        </w:rPr>
      </w:pPr>
      <w:r>
        <w:rPr>
          <w:rFonts w:ascii="Arial" w:hAnsi="Arial" w:cs="Arial"/>
          <w:sz w:val="22"/>
          <w:szCs w:val="22"/>
        </w:rPr>
        <w:t xml:space="preserve">The Council withdrawals under Clause 8D affected over 70 </w:t>
      </w:r>
      <w:r w:rsidR="005E15BD">
        <w:rPr>
          <w:rFonts w:ascii="Arial" w:hAnsi="Arial" w:cs="Arial"/>
          <w:sz w:val="22"/>
          <w:szCs w:val="22"/>
        </w:rPr>
        <w:t xml:space="preserve">PDP </w:t>
      </w:r>
      <w:r>
        <w:rPr>
          <w:rFonts w:ascii="Arial" w:hAnsi="Arial" w:cs="Arial"/>
          <w:sz w:val="22"/>
          <w:szCs w:val="22"/>
        </w:rPr>
        <w:t xml:space="preserve">provisions.  The public notice did not detail these, but rather left it to a reader to establish just how specific withdrawals affected the </w:t>
      </w:r>
      <w:r w:rsidR="00C70EBA">
        <w:rPr>
          <w:rFonts w:ascii="Arial" w:hAnsi="Arial" w:cs="Arial"/>
          <w:sz w:val="22"/>
          <w:szCs w:val="22"/>
        </w:rPr>
        <w:t xml:space="preserve">specific </w:t>
      </w:r>
      <w:r>
        <w:rPr>
          <w:rFonts w:ascii="Arial" w:hAnsi="Arial" w:cs="Arial"/>
          <w:sz w:val="22"/>
          <w:szCs w:val="22"/>
        </w:rPr>
        <w:t>provision</w:t>
      </w:r>
      <w:r w:rsidR="00C70EBA">
        <w:rPr>
          <w:rFonts w:ascii="Arial" w:hAnsi="Arial" w:cs="Arial"/>
          <w:sz w:val="22"/>
          <w:szCs w:val="22"/>
        </w:rPr>
        <w:t>s and the other provisions to which they were related.  And of course no thought was given by the Council to the effect of the withdrawals in terms of remnant ODP provision</w:t>
      </w:r>
      <w:r w:rsidR="005E15BD">
        <w:rPr>
          <w:rFonts w:ascii="Arial" w:hAnsi="Arial" w:cs="Arial"/>
          <w:sz w:val="22"/>
          <w:szCs w:val="22"/>
        </w:rPr>
        <w:t>s</w:t>
      </w:r>
      <w:r w:rsidR="00C70EBA">
        <w:rPr>
          <w:rFonts w:ascii="Arial" w:hAnsi="Arial" w:cs="Arial"/>
          <w:sz w:val="22"/>
          <w:szCs w:val="22"/>
        </w:rPr>
        <w:t>, or as to how those remnant ODP provisions would be read with any relevant PDP provisions.</w:t>
      </w:r>
      <w:r w:rsidR="005E15BD">
        <w:rPr>
          <w:rFonts w:ascii="Arial" w:hAnsi="Arial" w:cs="Arial"/>
          <w:sz w:val="22"/>
          <w:szCs w:val="22"/>
        </w:rPr>
        <w:t xml:space="preserve"> (And there is an entire gamut of relationships from objectives to definitions).</w:t>
      </w:r>
    </w:p>
    <w:p w14:paraId="2B358AF9" w14:textId="77777777" w:rsidR="00C70EBA" w:rsidRPr="00C70EBA" w:rsidRDefault="00C70EBA" w:rsidP="00C70EBA">
      <w:pPr>
        <w:ind w:left="568"/>
        <w:rPr>
          <w:rFonts w:ascii="Arial" w:hAnsi="Arial" w:cs="Arial"/>
          <w:sz w:val="22"/>
          <w:szCs w:val="22"/>
        </w:rPr>
      </w:pPr>
    </w:p>
    <w:p w14:paraId="58C38DEB" w14:textId="46276D72" w:rsidR="00C70EBA" w:rsidRDefault="00C70EBA" w:rsidP="00A954D8">
      <w:pPr>
        <w:pStyle w:val="ListParagraph"/>
        <w:numPr>
          <w:ilvl w:val="0"/>
          <w:numId w:val="1"/>
        </w:numPr>
        <w:rPr>
          <w:rFonts w:ascii="Arial" w:hAnsi="Arial" w:cs="Arial"/>
          <w:sz w:val="22"/>
          <w:szCs w:val="22"/>
        </w:rPr>
      </w:pPr>
      <w:r>
        <w:rPr>
          <w:rFonts w:ascii="Arial" w:hAnsi="Arial" w:cs="Arial"/>
          <w:sz w:val="22"/>
          <w:szCs w:val="22"/>
        </w:rPr>
        <w:t>CRU members who were affected by the provisions which were withdrawn or partially withdrawn</w:t>
      </w:r>
      <w:r w:rsidR="005E15BD">
        <w:rPr>
          <w:rFonts w:ascii="Arial" w:hAnsi="Arial" w:cs="Arial"/>
          <w:sz w:val="22"/>
          <w:szCs w:val="22"/>
        </w:rPr>
        <w:t>,</w:t>
      </w:r>
      <w:r>
        <w:rPr>
          <w:rFonts w:ascii="Arial" w:hAnsi="Arial" w:cs="Arial"/>
          <w:sz w:val="22"/>
          <w:szCs w:val="22"/>
        </w:rPr>
        <w:t xml:space="preserve"> not only lo</w:t>
      </w:r>
      <w:r w:rsidR="00B0378A">
        <w:rPr>
          <w:rFonts w:ascii="Arial" w:hAnsi="Arial" w:cs="Arial"/>
          <w:sz w:val="22"/>
          <w:szCs w:val="22"/>
        </w:rPr>
        <w:t>st their ability to make submis</w:t>
      </w:r>
      <w:r>
        <w:rPr>
          <w:rFonts w:ascii="Arial" w:hAnsi="Arial" w:cs="Arial"/>
          <w:sz w:val="22"/>
          <w:szCs w:val="22"/>
        </w:rPr>
        <w:t>s</w:t>
      </w:r>
      <w:r w:rsidR="00B0378A">
        <w:rPr>
          <w:rFonts w:ascii="Arial" w:hAnsi="Arial" w:cs="Arial"/>
          <w:sz w:val="22"/>
          <w:szCs w:val="22"/>
        </w:rPr>
        <w:t>i</w:t>
      </w:r>
      <w:r>
        <w:rPr>
          <w:rFonts w:ascii="Arial" w:hAnsi="Arial" w:cs="Arial"/>
          <w:sz w:val="22"/>
          <w:szCs w:val="22"/>
        </w:rPr>
        <w:t>ons on matters of great importance to them</w:t>
      </w:r>
      <w:r w:rsidR="005E15BD">
        <w:rPr>
          <w:rFonts w:ascii="Arial" w:hAnsi="Arial" w:cs="Arial"/>
          <w:sz w:val="22"/>
          <w:szCs w:val="22"/>
        </w:rPr>
        <w:t>,</w:t>
      </w:r>
      <w:r>
        <w:rPr>
          <w:rFonts w:ascii="Arial" w:hAnsi="Arial" w:cs="Arial"/>
          <w:sz w:val="22"/>
          <w:szCs w:val="22"/>
        </w:rPr>
        <w:t xml:space="preserve"> but also had no ability to submit on provisions which did not affect them before the withdrawals, but would affect them as a consequence of the withdrawals.</w:t>
      </w:r>
    </w:p>
    <w:p w14:paraId="1429C4A9" w14:textId="77777777" w:rsidR="00C70EBA" w:rsidRPr="00C70EBA" w:rsidRDefault="00C70EBA" w:rsidP="00C70EBA">
      <w:pPr>
        <w:ind w:left="568"/>
        <w:rPr>
          <w:rFonts w:ascii="Arial" w:hAnsi="Arial" w:cs="Arial"/>
          <w:sz w:val="22"/>
          <w:szCs w:val="22"/>
        </w:rPr>
      </w:pPr>
    </w:p>
    <w:p w14:paraId="0566B769" w14:textId="6987BB2A" w:rsidR="00C70EBA" w:rsidRDefault="00C70EBA" w:rsidP="00A954D8">
      <w:pPr>
        <w:pStyle w:val="ListParagraph"/>
        <w:numPr>
          <w:ilvl w:val="0"/>
          <w:numId w:val="1"/>
        </w:numPr>
        <w:rPr>
          <w:rFonts w:ascii="Arial" w:hAnsi="Arial" w:cs="Arial"/>
          <w:sz w:val="22"/>
          <w:szCs w:val="22"/>
        </w:rPr>
      </w:pPr>
      <w:r>
        <w:rPr>
          <w:rFonts w:ascii="Arial" w:hAnsi="Arial" w:cs="Arial"/>
          <w:sz w:val="22"/>
          <w:szCs w:val="22"/>
        </w:rPr>
        <w:t>The Council has made decisions affecting CRU members which</w:t>
      </w:r>
      <w:r w:rsidR="005E15BD">
        <w:rPr>
          <w:rFonts w:ascii="Arial" w:hAnsi="Arial" w:cs="Arial"/>
          <w:sz w:val="22"/>
          <w:szCs w:val="22"/>
        </w:rPr>
        <w:t>, frankly,</w:t>
      </w:r>
      <w:r>
        <w:rPr>
          <w:rFonts w:ascii="Arial" w:hAnsi="Arial" w:cs="Arial"/>
          <w:sz w:val="22"/>
          <w:szCs w:val="22"/>
        </w:rPr>
        <w:t xml:space="preserve"> are both incompetent and unfair.  </w:t>
      </w:r>
      <w:r w:rsidR="00393734">
        <w:rPr>
          <w:rFonts w:ascii="Arial" w:hAnsi="Arial" w:cs="Arial"/>
          <w:sz w:val="22"/>
          <w:szCs w:val="22"/>
        </w:rPr>
        <w:t>It has not given any indication that it plans to do anything differently</w:t>
      </w:r>
      <w:r w:rsidR="005E15BD">
        <w:rPr>
          <w:rFonts w:ascii="Arial" w:hAnsi="Arial" w:cs="Arial"/>
          <w:sz w:val="22"/>
          <w:szCs w:val="22"/>
        </w:rPr>
        <w:t xml:space="preserve"> in future</w:t>
      </w:r>
      <w:r w:rsidR="00393734">
        <w:rPr>
          <w:rFonts w:ascii="Arial" w:hAnsi="Arial" w:cs="Arial"/>
          <w:sz w:val="22"/>
          <w:szCs w:val="22"/>
        </w:rPr>
        <w:t xml:space="preserve">.  </w:t>
      </w:r>
      <w:r>
        <w:rPr>
          <w:rFonts w:ascii="Arial" w:hAnsi="Arial" w:cs="Arial"/>
          <w:sz w:val="22"/>
          <w:szCs w:val="22"/>
        </w:rPr>
        <w:t>It has been on notice as to this challenge, and CRU's determination to pursue it for over a year.</w:t>
      </w:r>
    </w:p>
    <w:p w14:paraId="4556641F" w14:textId="77777777" w:rsidR="00C70EBA" w:rsidRPr="00C70EBA" w:rsidRDefault="00C70EBA" w:rsidP="00C70EBA">
      <w:pPr>
        <w:ind w:left="568"/>
        <w:rPr>
          <w:rFonts w:ascii="Arial" w:hAnsi="Arial" w:cs="Arial"/>
          <w:sz w:val="22"/>
          <w:szCs w:val="22"/>
        </w:rPr>
      </w:pPr>
    </w:p>
    <w:p w14:paraId="1E4BCC6F" w14:textId="15005AA4" w:rsidR="00C70EBA" w:rsidRDefault="00C70EBA" w:rsidP="00A954D8">
      <w:pPr>
        <w:pStyle w:val="ListParagraph"/>
        <w:numPr>
          <w:ilvl w:val="0"/>
          <w:numId w:val="1"/>
        </w:numPr>
        <w:rPr>
          <w:rFonts w:ascii="Arial" w:hAnsi="Arial" w:cs="Arial"/>
          <w:sz w:val="22"/>
          <w:szCs w:val="22"/>
        </w:rPr>
      </w:pPr>
      <w:r>
        <w:rPr>
          <w:rFonts w:ascii="Arial" w:hAnsi="Arial" w:cs="Arial"/>
          <w:sz w:val="22"/>
          <w:szCs w:val="22"/>
        </w:rPr>
        <w:t>Though the power to make a declaration is a discretionary one, the discretion should be exercised on well established principles.  Coun</w:t>
      </w:r>
      <w:r w:rsidR="00393734">
        <w:rPr>
          <w:rFonts w:ascii="Arial" w:hAnsi="Arial" w:cs="Arial"/>
          <w:sz w:val="22"/>
          <w:szCs w:val="22"/>
        </w:rPr>
        <w:t>sel</w:t>
      </w:r>
      <w:r>
        <w:rPr>
          <w:rFonts w:ascii="Arial" w:hAnsi="Arial" w:cs="Arial"/>
          <w:sz w:val="22"/>
          <w:szCs w:val="22"/>
        </w:rPr>
        <w:t xml:space="preserve"> has been unable to find any case in which a discretion has been used to deny relief because the decision </w:t>
      </w:r>
      <w:r w:rsidR="00393734">
        <w:rPr>
          <w:rFonts w:ascii="Arial" w:hAnsi="Arial" w:cs="Arial"/>
          <w:sz w:val="22"/>
          <w:szCs w:val="22"/>
        </w:rPr>
        <w:t xml:space="preserve">maker </w:t>
      </w:r>
      <w:r>
        <w:rPr>
          <w:rFonts w:ascii="Arial" w:hAnsi="Arial" w:cs="Arial"/>
          <w:sz w:val="22"/>
          <w:szCs w:val="22"/>
        </w:rPr>
        <w:t>did its best, or meant well, or is faced with</w:t>
      </w:r>
      <w:r w:rsidR="00393734">
        <w:rPr>
          <w:rFonts w:ascii="Arial" w:hAnsi="Arial" w:cs="Arial"/>
          <w:sz w:val="22"/>
          <w:szCs w:val="22"/>
        </w:rPr>
        <w:t xml:space="preserve"> </w:t>
      </w:r>
      <w:r>
        <w:rPr>
          <w:rFonts w:ascii="Arial" w:hAnsi="Arial" w:cs="Arial"/>
          <w:sz w:val="22"/>
          <w:szCs w:val="22"/>
        </w:rPr>
        <w:t>a difficult subject matter</w:t>
      </w:r>
      <w:r w:rsidR="00393734">
        <w:rPr>
          <w:rFonts w:ascii="Arial" w:hAnsi="Arial" w:cs="Arial"/>
          <w:sz w:val="22"/>
          <w:szCs w:val="22"/>
        </w:rPr>
        <w:t>.  If those matters were relevant (and CRU does not accept that any of them exists here) it is difficult to conceive, for example that any judicial review application would ever succeed.  Nor does it matter that the Council may just carry on in the same way and ultimately make the same decisions.</w:t>
      </w:r>
    </w:p>
    <w:p w14:paraId="2D87E872" w14:textId="77777777" w:rsidR="00393734" w:rsidRPr="00393734" w:rsidRDefault="00393734" w:rsidP="00393734">
      <w:pPr>
        <w:ind w:left="568"/>
        <w:rPr>
          <w:rFonts w:ascii="Arial" w:hAnsi="Arial" w:cs="Arial"/>
          <w:sz w:val="22"/>
          <w:szCs w:val="22"/>
        </w:rPr>
      </w:pPr>
    </w:p>
    <w:p w14:paraId="02C939BF" w14:textId="494C749E" w:rsidR="00731D45" w:rsidRDefault="00393734" w:rsidP="00A954D8">
      <w:pPr>
        <w:pStyle w:val="ListParagraph"/>
        <w:numPr>
          <w:ilvl w:val="0"/>
          <w:numId w:val="1"/>
        </w:numPr>
        <w:rPr>
          <w:rFonts w:ascii="Arial" w:hAnsi="Arial" w:cs="Arial"/>
          <w:sz w:val="22"/>
          <w:szCs w:val="22"/>
        </w:rPr>
      </w:pPr>
      <w:r>
        <w:rPr>
          <w:rFonts w:ascii="Arial" w:hAnsi="Arial" w:cs="Arial"/>
          <w:sz w:val="22"/>
          <w:szCs w:val="22"/>
        </w:rPr>
        <w:t xml:space="preserve">As submitted at para. </w:t>
      </w:r>
      <w:r w:rsidR="000360C8">
        <w:rPr>
          <w:rFonts w:ascii="Arial" w:hAnsi="Arial" w:cs="Arial"/>
          <w:sz w:val="22"/>
          <w:szCs w:val="22"/>
        </w:rPr>
        <w:t xml:space="preserve">116 </w:t>
      </w:r>
      <w:r>
        <w:rPr>
          <w:rFonts w:ascii="Arial" w:hAnsi="Arial" w:cs="Arial"/>
          <w:sz w:val="22"/>
          <w:szCs w:val="22"/>
        </w:rPr>
        <w:t xml:space="preserve">of the submission given at the hearing, if the Court finds that the Council acted beyond its powers under Clause 8D in 2014, then a declaration to this effect should issue.  The consequences of that are for the Council to manage.  </w:t>
      </w:r>
    </w:p>
    <w:p w14:paraId="64049D36" w14:textId="77777777" w:rsidR="00731D45" w:rsidRPr="00731D45" w:rsidRDefault="00731D45" w:rsidP="00731D45">
      <w:pPr>
        <w:ind w:left="568"/>
        <w:rPr>
          <w:rFonts w:ascii="Arial" w:hAnsi="Arial" w:cs="Arial"/>
          <w:sz w:val="22"/>
          <w:szCs w:val="22"/>
        </w:rPr>
      </w:pPr>
    </w:p>
    <w:p w14:paraId="1495C87A" w14:textId="2C4A9151" w:rsidR="00393734" w:rsidRPr="00E64553" w:rsidRDefault="00731D45" w:rsidP="00A954D8">
      <w:pPr>
        <w:pStyle w:val="ListParagraph"/>
        <w:numPr>
          <w:ilvl w:val="0"/>
          <w:numId w:val="1"/>
        </w:numPr>
        <w:rPr>
          <w:rFonts w:ascii="Arial" w:hAnsi="Arial" w:cs="Arial"/>
          <w:sz w:val="22"/>
          <w:szCs w:val="22"/>
        </w:rPr>
      </w:pPr>
      <w:r>
        <w:rPr>
          <w:rFonts w:ascii="Arial" w:hAnsi="Arial" w:cs="Arial"/>
          <w:sz w:val="22"/>
          <w:szCs w:val="22"/>
        </w:rPr>
        <w:t>CRU respectfully disagrees with the Court's interim approach at [58] to find a solution which avoids a dec</w:t>
      </w:r>
      <w:r w:rsidR="00B0378A">
        <w:rPr>
          <w:rFonts w:ascii="Arial" w:hAnsi="Arial" w:cs="Arial"/>
          <w:sz w:val="22"/>
          <w:szCs w:val="22"/>
        </w:rPr>
        <w:t>l</w:t>
      </w:r>
      <w:r>
        <w:rPr>
          <w:rFonts w:ascii="Arial" w:hAnsi="Arial" w:cs="Arial"/>
          <w:sz w:val="22"/>
          <w:szCs w:val="22"/>
        </w:rPr>
        <w:t>aration.  Th</w:t>
      </w:r>
      <w:r w:rsidR="005A1A61">
        <w:rPr>
          <w:rFonts w:ascii="Arial" w:hAnsi="Arial" w:cs="Arial"/>
          <w:sz w:val="22"/>
          <w:szCs w:val="22"/>
        </w:rPr>
        <w:t>is PDP process has already cost</w:t>
      </w:r>
      <w:r>
        <w:rPr>
          <w:rFonts w:ascii="Arial" w:hAnsi="Arial" w:cs="Arial"/>
          <w:sz w:val="22"/>
          <w:szCs w:val="22"/>
        </w:rPr>
        <w:t xml:space="preserve"> the Kapiti Coast community, incl</w:t>
      </w:r>
      <w:r w:rsidR="00B44DAF">
        <w:rPr>
          <w:rFonts w:ascii="Arial" w:hAnsi="Arial" w:cs="Arial"/>
          <w:sz w:val="22"/>
          <w:szCs w:val="22"/>
        </w:rPr>
        <w:t>uding CRU members, well over $6</w:t>
      </w:r>
      <w:r>
        <w:rPr>
          <w:rFonts w:ascii="Arial" w:hAnsi="Arial" w:cs="Arial"/>
          <w:sz w:val="22"/>
          <w:szCs w:val="22"/>
        </w:rPr>
        <w:t xml:space="preserve"> million.  The Court has no information</w:t>
      </w:r>
      <w:r w:rsidR="005A1A61">
        <w:rPr>
          <w:rFonts w:ascii="Arial" w:hAnsi="Arial" w:cs="Arial"/>
          <w:sz w:val="22"/>
          <w:szCs w:val="22"/>
        </w:rPr>
        <w:t>,</w:t>
      </w:r>
      <w:r>
        <w:rPr>
          <w:rFonts w:ascii="Arial" w:hAnsi="Arial" w:cs="Arial"/>
          <w:sz w:val="22"/>
          <w:szCs w:val="22"/>
        </w:rPr>
        <w:t xml:space="preserve"> sufficient to exercise a discretion</w:t>
      </w:r>
      <w:r w:rsidR="005A1A61">
        <w:rPr>
          <w:rFonts w:ascii="Arial" w:hAnsi="Arial" w:cs="Arial"/>
          <w:sz w:val="22"/>
          <w:szCs w:val="22"/>
        </w:rPr>
        <w:t>,</w:t>
      </w:r>
      <w:r>
        <w:rPr>
          <w:rFonts w:ascii="Arial" w:hAnsi="Arial" w:cs="Arial"/>
          <w:sz w:val="22"/>
          <w:szCs w:val="22"/>
        </w:rPr>
        <w:t xml:space="preserve"> on the costs of remedial variations nor of the counter benefits to persons who may be able to make submissions and thereby improve the quality of the provisions.  This consideration, it is submitted, is not relevant to the making of a declaration in this case where the failures are not in the minor or trivial category.</w:t>
      </w:r>
    </w:p>
    <w:p w14:paraId="4A23AA6D" w14:textId="77777777" w:rsidR="00A954D8" w:rsidRPr="00324328" w:rsidRDefault="00A954D8" w:rsidP="00A954D8">
      <w:pPr>
        <w:ind w:left="568"/>
      </w:pPr>
    </w:p>
    <w:p w14:paraId="554DFD80" w14:textId="77777777" w:rsidR="00A954D8" w:rsidRPr="00324328" w:rsidRDefault="00A954D8" w:rsidP="00A954D8">
      <w:pPr>
        <w:ind w:left="568"/>
      </w:pPr>
      <w:r>
        <w:rPr>
          <w:noProof/>
        </w:rPr>
        <w:drawing>
          <wp:anchor distT="0" distB="0" distL="114300" distR="114300" simplePos="0" relativeHeight="251659264" behindDoc="0" locked="0" layoutInCell="1" allowOverlap="1" wp14:anchorId="55DA05A7" wp14:editId="2817BCD3">
            <wp:simplePos x="0" y="0"/>
            <wp:positionH relativeFrom="column">
              <wp:posOffset>342900</wp:posOffset>
            </wp:positionH>
            <wp:positionV relativeFrom="paragraph">
              <wp:posOffset>163830</wp:posOffset>
            </wp:positionV>
            <wp:extent cx="1511300" cy="533400"/>
            <wp:effectExtent l="0" t="0" r="1270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ture.jpeg"/>
                    <pic:cNvPicPr/>
                  </pic:nvPicPr>
                  <pic:blipFill rotWithShape="1">
                    <a:blip r:embed="rId8">
                      <a:extLst>
                        <a:ext uri="{28A0092B-C50C-407E-A947-70E740481C1C}">
                          <a14:useLocalDpi xmlns:a14="http://schemas.microsoft.com/office/drawing/2010/main" val="0"/>
                        </a:ext>
                      </a:extLst>
                    </a:blip>
                    <a:srcRect l="65436" t="38448" r="3166" b="53789"/>
                    <a:stretch/>
                  </pic:blipFill>
                  <pic:spPr bwMode="auto">
                    <a:xfrm>
                      <a:off x="0" y="0"/>
                      <a:ext cx="1511300" cy="533400"/>
                    </a:xfrm>
                    <a:prstGeom prst="rect">
                      <a:avLst/>
                    </a:prstGeom>
                    <a:ln>
                      <a:noFill/>
                    </a:ln>
                    <a:extLst>
                      <a:ext uri="{53640926-AAD7-44d8-BBD7-CCE9431645EC}">
                        <a14:shadowObscured xmlns:a14="http://schemas.microsoft.com/office/drawing/2010/main"/>
                      </a:ex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2C02F28A" w14:textId="77777777" w:rsidR="00A954D8" w:rsidRPr="00324328" w:rsidRDefault="00A954D8" w:rsidP="00A954D8">
      <w:pPr>
        <w:ind w:left="568"/>
      </w:pPr>
    </w:p>
    <w:p w14:paraId="081F6636" w14:textId="77777777" w:rsidR="00A954D8" w:rsidRPr="00324328" w:rsidRDefault="00A954D8" w:rsidP="00A954D8">
      <w:pPr>
        <w:ind w:left="568"/>
      </w:pPr>
    </w:p>
    <w:p w14:paraId="37A0E36F" w14:textId="77777777" w:rsidR="00A954D8" w:rsidRPr="00324328" w:rsidRDefault="00A954D8" w:rsidP="00A954D8">
      <w:pPr>
        <w:ind w:left="568"/>
      </w:pPr>
    </w:p>
    <w:p w14:paraId="3241ED8B" w14:textId="77777777" w:rsidR="00A954D8" w:rsidRDefault="00A954D8" w:rsidP="00A954D8">
      <w:pPr>
        <w:ind w:left="360"/>
        <w:rPr>
          <w:rFonts w:ascii="Arial" w:hAnsi="Arial" w:cs="Arial"/>
          <w:b/>
          <w:sz w:val="22"/>
          <w:szCs w:val="22"/>
        </w:rPr>
      </w:pPr>
    </w:p>
    <w:p w14:paraId="2642CDA2" w14:textId="77777777" w:rsidR="00A954D8" w:rsidRPr="00D33263" w:rsidRDefault="00A954D8" w:rsidP="00A954D8">
      <w:pPr>
        <w:ind w:left="360"/>
        <w:rPr>
          <w:rFonts w:ascii="Arial" w:hAnsi="Arial" w:cs="Arial"/>
          <w:b/>
          <w:sz w:val="22"/>
          <w:szCs w:val="22"/>
        </w:rPr>
      </w:pPr>
      <w:r w:rsidRPr="00D33263">
        <w:rPr>
          <w:rFonts w:ascii="Arial" w:hAnsi="Arial" w:cs="Arial"/>
          <w:b/>
          <w:sz w:val="22"/>
          <w:szCs w:val="22"/>
        </w:rPr>
        <w:t>PC Mitchell</w:t>
      </w:r>
    </w:p>
    <w:p w14:paraId="6BD7750C" w14:textId="77777777" w:rsidR="00A954D8" w:rsidRPr="00D33263" w:rsidRDefault="00A954D8" w:rsidP="00A954D8">
      <w:pPr>
        <w:ind w:left="360"/>
        <w:rPr>
          <w:rFonts w:ascii="Arial" w:hAnsi="Arial" w:cs="Arial"/>
          <w:b/>
          <w:sz w:val="22"/>
          <w:szCs w:val="22"/>
        </w:rPr>
      </w:pPr>
      <w:r w:rsidRPr="00D33263">
        <w:rPr>
          <w:rFonts w:ascii="Arial" w:hAnsi="Arial" w:cs="Arial"/>
          <w:b/>
          <w:sz w:val="22"/>
          <w:szCs w:val="22"/>
        </w:rPr>
        <w:t>Counsel for the Applicant</w:t>
      </w:r>
    </w:p>
    <w:p w14:paraId="43B24C37" w14:textId="77777777" w:rsidR="00A954D8" w:rsidRPr="00D33263" w:rsidRDefault="00A954D8" w:rsidP="00A954D8">
      <w:pPr>
        <w:ind w:left="360"/>
        <w:rPr>
          <w:rFonts w:ascii="Arial" w:hAnsi="Arial" w:cs="Arial"/>
          <w:b/>
          <w:sz w:val="22"/>
          <w:szCs w:val="22"/>
        </w:rPr>
      </w:pPr>
    </w:p>
    <w:p w14:paraId="2A22A164" w14:textId="7FA6CB2A" w:rsidR="00A954D8" w:rsidRPr="00D33263" w:rsidRDefault="00731D45" w:rsidP="00A954D8">
      <w:pPr>
        <w:ind w:left="360"/>
        <w:rPr>
          <w:rFonts w:ascii="Arial" w:hAnsi="Arial" w:cs="Arial"/>
          <w:b/>
          <w:sz w:val="22"/>
          <w:szCs w:val="22"/>
        </w:rPr>
      </w:pPr>
      <w:r>
        <w:rPr>
          <w:rFonts w:ascii="Arial" w:hAnsi="Arial" w:cs="Arial"/>
          <w:b/>
          <w:sz w:val="22"/>
          <w:szCs w:val="22"/>
        </w:rPr>
        <w:t>27 March 2017</w:t>
      </w:r>
    </w:p>
    <w:p w14:paraId="0D9630C7" w14:textId="77777777" w:rsidR="00D16EC4" w:rsidRDefault="00D16EC4"/>
    <w:sectPr w:rsidR="00D16EC4" w:rsidSect="00C70EBA">
      <w:footerReference w:type="even" r:id="rId9"/>
      <w:footerReference w:type="default" r:id="rId10"/>
      <w:pgSz w:w="11900" w:h="16840"/>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6DFCA" w14:textId="77777777" w:rsidR="00B0378A" w:rsidRDefault="00B0378A" w:rsidP="00C70EBA">
      <w:r>
        <w:separator/>
      </w:r>
    </w:p>
  </w:endnote>
  <w:endnote w:type="continuationSeparator" w:id="0">
    <w:p w14:paraId="504CAED8" w14:textId="77777777" w:rsidR="00B0378A" w:rsidRDefault="00B0378A" w:rsidP="00C7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A1E4E6" w14:textId="77777777" w:rsidR="00B0378A" w:rsidRDefault="00B0378A" w:rsidP="00C70E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370404" w14:textId="77777777" w:rsidR="00B0378A" w:rsidRDefault="00B0378A" w:rsidP="00C70EB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05194" w14:textId="77777777" w:rsidR="00B0378A" w:rsidRDefault="00B0378A" w:rsidP="00C70E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44DAF">
      <w:rPr>
        <w:rStyle w:val="PageNumber"/>
        <w:noProof/>
      </w:rPr>
      <w:t>3</w:t>
    </w:r>
    <w:r>
      <w:rPr>
        <w:rStyle w:val="PageNumber"/>
      </w:rPr>
      <w:fldChar w:fldCharType="end"/>
    </w:r>
  </w:p>
  <w:p w14:paraId="05DD4943" w14:textId="77777777" w:rsidR="00B0378A" w:rsidRDefault="00B0378A" w:rsidP="00C70EB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C61DC" w14:textId="77777777" w:rsidR="00B0378A" w:rsidRDefault="00B0378A" w:rsidP="00C70EBA">
      <w:r>
        <w:separator/>
      </w:r>
    </w:p>
  </w:footnote>
  <w:footnote w:type="continuationSeparator" w:id="0">
    <w:p w14:paraId="09B0BC37" w14:textId="77777777" w:rsidR="00B0378A" w:rsidRDefault="00B0378A" w:rsidP="00C70EB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A7364"/>
    <w:multiLevelType w:val="hybridMultilevel"/>
    <w:tmpl w:val="29B21EA2"/>
    <w:lvl w:ilvl="0" w:tplc="04090017">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nsid w:val="49237914"/>
    <w:multiLevelType w:val="hybridMultilevel"/>
    <w:tmpl w:val="734EF2C0"/>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026FFA"/>
    <w:multiLevelType w:val="hybridMultilevel"/>
    <w:tmpl w:val="30A0C77C"/>
    <w:lvl w:ilvl="0" w:tplc="04090017">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4D8"/>
    <w:rsid w:val="00027BB2"/>
    <w:rsid w:val="000360C8"/>
    <w:rsid w:val="000C0A39"/>
    <w:rsid w:val="000F7454"/>
    <w:rsid w:val="00201402"/>
    <w:rsid w:val="00393734"/>
    <w:rsid w:val="003C119E"/>
    <w:rsid w:val="00534029"/>
    <w:rsid w:val="00540D2E"/>
    <w:rsid w:val="005A1A61"/>
    <w:rsid w:val="005E15BD"/>
    <w:rsid w:val="006370D6"/>
    <w:rsid w:val="0064228E"/>
    <w:rsid w:val="006E2AD0"/>
    <w:rsid w:val="00731D45"/>
    <w:rsid w:val="007B1541"/>
    <w:rsid w:val="00887DC1"/>
    <w:rsid w:val="00893566"/>
    <w:rsid w:val="00986BC1"/>
    <w:rsid w:val="00A954D8"/>
    <w:rsid w:val="00B0378A"/>
    <w:rsid w:val="00B44DAF"/>
    <w:rsid w:val="00C554A1"/>
    <w:rsid w:val="00C70EBA"/>
    <w:rsid w:val="00D16EC4"/>
    <w:rsid w:val="00DA5CFB"/>
    <w:rsid w:val="00ED1E14"/>
    <w:rsid w:val="00FA4C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025B6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4D8"/>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54D8"/>
    <w:pPr>
      <w:ind w:left="720"/>
      <w:contextualSpacing/>
    </w:pPr>
  </w:style>
  <w:style w:type="paragraph" w:styleId="Footer">
    <w:name w:val="footer"/>
    <w:basedOn w:val="Normal"/>
    <w:link w:val="FooterChar"/>
    <w:uiPriority w:val="99"/>
    <w:unhideWhenUsed/>
    <w:rsid w:val="00C70EBA"/>
    <w:pPr>
      <w:tabs>
        <w:tab w:val="center" w:pos="4320"/>
        <w:tab w:val="right" w:pos="8640"/>
      </w:tabs>
    </w:pPr>
  </w:style>
  <w:style w:type="character" w:customStyle="1" w:styleId="FooterChar">
    <w:name w:val="Footer Char"/>
    <w:basedOn w:val="DefaultParagraphFont"/>
    <w:link w:val="Footer"/>
    <w:uiPriority w:val="99"/>
    <w:rsid w:val="00C70EBA"/>
    <w:rPr>
      <w:rFonts w:ascii="Times New Roman" w:eastAsia="Times New Roman" w:hAnsi="Times New Roman" w:cs="Times New Roman"/>
    </w:rPr>
  </w:style>
  <w:style w:type="character" w:styleId="PageNumber">
    <w:name w:val="page number"/>
    <w:basedOn w:val="DefaultParagraphFont"/>
    <w:uiPriority w:val="99"/>
    <w:semiHidden/>
    <w:unhideWhenUsed/>
    <w:rsid w:val="00C70EB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4D8"/>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54D8"/>
    <w:pPr>
      <w:ind w:left="720"/>
      <w:contextualSpacing/>
    </w:pPr>
  </w:style>
  <w:style w:type="paragraph" w:styleId="Footer">
    <w:name w:val="footer"/>
    <w:basedOn w:val="Normal"/>
    <w:link w:val="FooterChar"/>
    <w:uiPriority w:val="99"/>
    <w:unhideWhenUsed/>
    <w:rsid w:val="00C70EBA"/>
    <w:pPr>
      <w:tabs>
        <w:tab w:val="center" w:pos="4320"/>
        <w:tab w:val="right" w:pos="8640"/>
      </w:tabs>
    </w:pPr>
  </w:style>
  <w:style w:type="character" w:customStyle="1" w:styleId="FooterChar">
    <w:name w:val="Footer Char"/>
    <w:basedOn w:val="DefaultParagraphFont"/>
    <w:link w:val="Footer"/>
    <w:uiPriority w:val="99"/>
    <w:rsid w:val="00C70EBA"/>
    <w:rPr>
      <w:rFonts w:ascii="Times New Roman" w:eastAsia="Times New Roman" w:hAnsi="Times New Roman" w:cs="Times New Roman"/>
    </w:rPr>
  </w:style>
  <w:style w:type="character" w:styleId="PageNumber">
    <w:name w:val="page number"/>
    <w:basedOn w:val="DefaultParagraphFont"/>
    <w:uiPriority w:val="99"/>
    <w:semiHidden/>
    <w:unhideWhenUsed/>
    <w:rsid w:val="00C70E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404</TotalTime>
  <Pages>5</Pages>
  <Words>1570</Words>
  <Characters>8954</Characters>
  <Application>Microsoft Macintosh Word</Application>
  <DocSecurity>0</DocSecurity>
  <Lines>74</Lines>
  <Paragraphs>21</Paragraphs>
  <ScaleCrop>false</ScaleCrop>
  <Company>Mitchell Law</Company>
  <LinksUpToDate>false</LinksUpToDate>
  <CharactersWithSpaces>10503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mitchell</dc:creator>
  <cp:keywords/>
  <dc:description/>
  <cp:lastModifiedBy>chris mitchell</cp:lastModifiedBy>
  <cp:revision>17</cp:revision>
  <dcterms:created xsi:type="dcterms:W3CDTF">2017-03-26T08:04:00Z</dcterms:created>
  <dcterms:modified xsi:type="dcterms:W3CDTF">2017-03-27T02:30:00Z</dcterms:modified>
</cp:coreProperties>
</file>