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75BA5E" w14:textId="604B2063" w:rsidR="002769EA" w:rsidRPr="00113664" w:rsidRDefault="002769EA" w:rsidP="002769EA">
      <w:pPr>
        <w:widowControl w:val="0"/>
        <w:autoSpaceDE w:val="0"/>
        <w:autoSpaceDN w:val="0"/>
        <w:adjustRightInd w:val="0"/>
        <w:rPr>
          <w:rFonts w:ascii="Times" w:hAnsi="Times" w:cs="Times"/>
          <w:b/>
          <w:color w:val="161616"/>
          <w:sz w:val="28"/>
          <w:szCs w:val="28"/>
        </w:rPr>
      </w:pPr>
      <w:r w:rsidRPr="00113664">
        <w:rPr>
          <w:rFonts w:ascii="Times" w:hAnsi="Times" w:cs="Times"/>
          <w:b/>
          <w:color w:val="161616"/>
          <w:sz w:val="28"/>
          <w:szCs w:val="28"/>
        </w:rPr>
        <w:t>E</w:t>
      </w:r>
      <w:r w:rsidR="00113664" w:rsidRPr="00113664">
        <w:rPr>
          <w:rFonts w:ascii="Times" w:hAnsi="Times" w:cs="Times"/>
          <w:b/>
          <w:color w:val="161616"/>
          <w:sz w:val="28"/>
          <w:szCs w:val="28"/>
        </w:rPr>
        <w:t xml:space="preserve">uropean </w:t>
      </w:r>
      <w:r w:rsidRPr="00113664">
        <w:rPr>
          <w:rFonts w:ascii="Times" w:hAnsi="Times" w:cs="Times"/>
          <w:b/>
          <w:color w:val="161616"/>
          <w:sz w:val="28"/>
          <w:szCs w:val="28"/>
        </w:rPr>
        <w:t>C</w:t>
      </w:r>
      <w:r w:rsidR="00113664" w:rsidRPr="00113664">
        <w:rPr>
          <w:rFonts w:ascii="Times" w:hAnsi="Times" w:cs="Times"/>
          <w:b/>
          <w:color w:val="161616"/>
          <w:sz w:val="28"/>
          <w:szCs w:val="28"/>
        </w:rPr>
        <w:t>ommunity</w:t>
      </w:r>
      <w:r w:rsidRPr="00113664">
        <w:rPr>
          <w:rFonts w:ascii="Times" w:hAnsi="Times" w:cs="Times"/>
          <w:b/>
          <w:color w:val="161616"/>
          <w:sz w:val="28"/>
          <w:szCs w:val="28"/>
        </w:rPr>
        <w:t xml:space="preserve"> Directive 2014</w:t>
      </w:r>
      <w:r w:rsidR="00113664" w:rsidRPr="00113664">
        <w:rPr>
          <w:rFonts w:ascii="Times" w:hAnsi="Times" w:cs="Times"/>
          <w:b/>
          <w:color w:val="161616"/>
          <w:sz w:val="28"/>
          <w:szCs w:val="28"/>
        </w:rPr>
        <w:t xml:space="preserve"> [extracts]</w:t>
      </w:r>
      <w:r w:rsidR="00113664">
        <w:rPr>
          <w:rFonts w:ascii="Times" w:hAnsi="Times" w:cs="Times"/>
          <w:b/>
          <w:color w:val="161616"/>
          <w:sz w:val="28"/>
          <w:szCs w:val="28"/>
        </w:rPr>
        <w:t>- Precautionary</w:t>
      </w:r>
      <w:r w:rsidR="00807D2C">
        <w:rPr>
          <w:rFonts w:ascii="Times" w:hAnsi="Times" w:cs="Times"/>
          <w:b/>
          <w:color w:val="161616"/>
          <w:sz w:val="28"/>
          <w:szCs w:val="28"/>
        </w:rPr>
        <w:t xml:space="preserve"> Principle</w:t>
      </w:r>
    </w:p>
    <w:p w14:paraId="7A7B9577" w14:textId="77777777" w:rsidR="002769EA" w:rsidRDefault="002769EA" w:rsidP="002769EA">
      <w:pPr>
        <w:widowControl w:val="0"/>
        <w:autoSpaceDE w:val="0"/>
        <w:autoSpaceDN w:val="0"/>
        <w:adjustRightInd w:val="0"/>
        <w:rPr>
          <w:rFonts w:ascii="Times" w:hAnsi="Times" w:cs="Times"/>
          <w:color w:val="161616"/>
        </w:rPr>
      </w:pPr>
    </w:p>
    <w:p w14:paraId="7221F708" w14:textId="77777777" w:rsidR="002769EA" w:rsidRPr="002769EA" w:rsidRDefault="002769EA" w:rsidP="00807D2C">
      <w:pPr>
        <w:widowControl w:val="0"/>
        <w:autoSpaceDE w:val="0"/>
        <w:autoSpaceDN w:val="0"/>
        <w:adjustRightInd w:val="0"/>
        <w:jc w:val="both"/>
        <w:rPr>
          <w:rFonts w:ascii="Times" w:hAnsi="Times" w:cs="Times"/>
          <w:color w:val="161616"/>
          <w:u w:val="single"/>
        </w:rPr>
      </w:pPr>
      <w:r w:rsidRPr="002769EA">
        <w:rPr>
          <w:rFonts w:ascii="Times" w:hAnsi="Times" w:cs="Times"/>
          <w:color w:val="161616"/>
          <w:u w:val="single"/>
        </w:rPr>
        <w:t>Summary</w:t>
      </w:r>
    </w:p>
    <w:p w14:paraId="1C0ED10A" w14:textId="77777777" w:rsidR="002769EA" w:rsidRDefault="002769EA" w:rsidP="00807D2C">
      <w:pPr>
        <w:widowControl w:val="0"/>
        <w:autoSpaceDE w:val="0"/>
        <w:autoSpaceDN w:val="0"/>
        <w:adjustRightInd w:val="0"/>
        <w:jc w:val="both"/>
        <w:rPr>
          <w:rFonts w:ascii="Times" w:hAnsi="Times" w:cs="Times"/>
          <w:color w:val="161616"/>
        </w:rPr>
      </w:pPr>
    </w:p>
    <w:p w14:paraId="7F762C18" w14:textId="77777777" w:rsidR="002769EA" w:rsidRDefault="002769EA" w:rsidP="00807D2C">
      <w:pPr>
        <w:widowControl w:val="0"/>
        <w:autoSpaceDE w:val="0"/>
        <w:autoSpaceDN w:val="0"/>
        <w:adjustRightInd w:val="0"/>
        <w:jc w:val="both"/>
        <w:rPr>
          <w:rFonts w:ascii="Times" w:hAnsi="Times" w:cs="Times"/>
          <w:color w:val="161616"/>
        </w:rPr>
      </w:pPr>
      <w:r>
        <w:rPr>
          <w:rFonts w:ascii="Times" w:hAnsi="Times" w:cs="Times"/>
          <w:color w:val="161616"/>
        </w:rPr>
        <w:t xml:space="preserve">4. The precautionary principle should be considered within a structured approach to the analysis of </w:t>
      </w:r>
      <w:proofErr w:type="gramStart"/>
      <w:r>
        <w:rPr>
          <w:rFonts w:ascii="Times" w:hAnsi="Times" w:cs="Times"/>
          <w:color w:val="161616"/>
        </w:rPr>
        <w:t>risk which</w:t>
      </w:r>
      <w:proofErr w:type="gramEnd"/>
      <w:r>
        <w:rPr>
          <w:rFonts w:ascii="Times" w:hAnsi="Times" w:cs="Times"/>
          <w:color w:val="161616"/>
        </w:rPr>
        <w:t xml:space="preserve"> comprises three elements: risk assessment, risk management, risk communication. The precautionary principle is particularly relevant to the management of risk.</w:t>
      </w:r>
    </w:p>
    <w:p w14:paraId="73868F26" w14:textId="77777777" w:rsidR="00113664" w:rsidRDefault="00113664" w:rsidP="00807D2C">
      <w:pPr>
        <w:widowControl w:val="0"/>
        <w:autoSpaceDE w:val="0"/>
        <w:autoSpaceDN w:val="0"/>
        <w:adjustRightInd w:val="0"/>
        <w:jc w:val="both"/>
        <w:rPr>
          <w:rFonts w:ascii="Times" w:hAnsi="Times" w:cs="Times"/>
          <w:color w:val="161616"/>
        </w:rPr>
      </w:pPr>
    </w:p>
    <w:p w14:paraId="0C2E9D85" w14:textId="77777777" w:rsidR="002769EA" w:rsidRDefault="002769EA" w:rsidP="00807D2C">
      <w:pPr>
        <w:widowControl w:val="0"/>
        <w:autoSpaceDE w:val="0"/>
        <w:autoSpaceDN w:val="0"/>
        <w:adjustRightInd w:val="0"/>
        <w:jc w:val="both"/>
        <w:rPr>
          <w:rFonts w:ascii="Times" w:hAnsi="Times" w:cs="Times"/>
          <w:color w:val="161616"/>
        </w:rPr>
      </w:pPr>
      <w:r>
        <w:rPr>
          <w:rFonts w:ascii="Times" w:hAnsi="Times" w:cs="Times"/>
          <w:color w:val="161616"/>
        </w:rPr>
        <w:t>The precautionary principle, which is essentially used by decision-makers in the management of risk, should not be confused with the element of caution that scientists apply in their assessment of scientific data.</w:t>
      </w:r>
    </w:p>
    <w:p w14:paraId="735D9C67" w14:textId="77777777" w:rsidR="002769EA" w:rsidRDefault="002769EA" w:rsidP="00807D2C">
      <w:pPr>
        <w:widowControl w:val="0"/>
        <w:autoSpaceDE w:val="0"/>
        <w:autoSpaceDN w:val="0"/>
        <w:adjustRightInd w:val="0"/>
        <w:jc w:val="both"/>
        <w:rPr>
          <w:rFonts w:ascii="Times" w:hAnsi="Times" w:cs="Times"/>
          <w:color w:val="161616"/>
        </w:rPr>
      </w:pPr>
    </w:p>
    <w:p w14:paraId="6946183F" w14:textId="77777777" w:rsidR="002769EA" w:rsidRDefault="002769EA" w:rsidP="00807D2C">
      <w:pPr>
        <w:widowControl w:val="0"/>
        <w:autoSpaceDE w:val="0"/>
        <w:autoSpaceDN w:val="0"/>
        <w:adjustRightInd w:val="0"/>
        <w:jc w:val="both"/>
        <w:rPr>
          <w:rFonts w:ascii="Times" w:hAnsi="Times" w:cs="Times"/>
          <w:color w:val="161616"/>
        </w:rPr>
      </w:pPr>
      <w:r>
        <w:rPr>
          <w:rFonts w:ascii="Times" w:hAnsi="Times" w:cs="Times"/>
          <w:color w:val="161616"/>
        </w:rPr>
        <w:t xml:space="preserve">Recourse to the precautionary principle presupposes that potentially dangerous effects deriving from a phenomenon, product or </w:t>
      </w:r>
      <w:proofErr w:type="gramStart"/>
      <w:r>
        <w:rPr>
          <w:rFonts w:ascii="Times" w:hAnsi="Times" w:cs="Times"/>
          <w:color w:val="161616"/>
        </w:rPr>
        <w:t>process have</w:t>
      </w:r>
      <w:proofErr w:type="gramEnd"/>
      <w:r>
        <w:rPr>
          <w:rFonts w:ascii="Times" w:hAnsi="Times" w:cs="Times"/>
          <w:color w:val="161616"/>
        </w:rPr>
        <w:t xml:space="preserve"> been identified, and that scientific evaluation does not allow the risk to be determined with sufficient certainty.</w:t>
      </w:r>
    </w:p>
    <w:p w14:paraId="411D1A67" w14:textId="77777777" w:rsidR="002769EA" w:rsidRDefault="002769EA" w:rsidP="00807D2C">
      <w:pPr>
        <w:widowControl w:val="0"/>
        <w:autoSpaceDE w:val="0"/>
        <w:autoSpaceDN w:val="0"/>
        <w:adjustRightInd w:val="0"/>
        <w:jc w:val="both"/>
        <w:rPr>
          <w:rFonts w:ascii="Times" w:hAnsi="Times" w:cs="Times"/>
          <w:color w:val="161616"/>
        </w:rPr>
      </w:pPr>
    </w:p>
    <w:p w14:paraId="148AC261" w14:textId="77777777" w:rsidR="002769EA" w:rsidRDefault="002769EA" w:rsidP="00807D2C">
      <w:pPr>
        <w:widowControl w:val="0"/>
        <w:autoSpaceDE w:val="0"/>
        <w:autoSpaceDN w:val="0"/>
        <w:adjustRightInd w:val="0"/>
        <w:jc w:val="both"/>
        <w:rPr>
          <w:rFonts w:ascii="Times" w:hAnsi="Times" w:cs="Times"/>
          <w:b/>
          <w:bCs/>
          <w:color w:val="161616"/>
        </w:rPr>
      </w:pPr>
      <w:r>
        <w:rPr>
          <w:rFonts w:ascii="Times" w:hAnsi="Times" w:cs="Times"/>
          <w:color w:val="161616"/>
        </w:rPr>
        <w:t xml:space="preserve">The implementation of an approach based on the precautionary principle should start with a scientific evaluation, as complete as possible, and where possible, identifying at each </w:t>
      </w:r>
      <w:proofErr w:type="gramStart"/>
      <w:r>
        <w:rPr>
          <w:rFonts w:ascii="Times" w:hAnsi="Times" w:cs="Times"/>
          <w:color w:val="161616"/>
        </w:rPr>
        <w:t>stage</w:t>
      </w:r>
      <w:proofErr w:type="gramEnd"/>
      <w:r>
        <w:rPr>
          <w:rFonts w:ascii="Times" w:hAnsi="Times" w:cs="Times"/>
          <w:color w:val="161616"/>
        </w:rPr>
        <w:t xml:space="preserve"> the degree of scientific uncertainty</w:t>
      </w:r>
      <w:r>
        <w:rPr>
          <w:rFonts w:ascii="Times" w:hAnsi="Times" w:cs="Times"/>
          <w:b/>
          <w:bCs/>
          <w:color w:val="161616"/>
        </w:rPr>
        <w:t>.</w:t>
      </w:r>
    </w:p>
    <w:p w14:paraId="2A4FB85D" w14:textId="77777777" w:rsidR="00113664" w:rsidRDefault="00113664" w:rsidP="00807D2C">
      <w:pPr>
        <w:widowControl w:val="0"/>
        <w:autoSpaceDE w:val="0"/>
        <w:autoSpaceDN w:val="0"/>
        <w:adjustRightInd w:val="0"/>
        <w:jc w:val="both"/>
        <w:rPr>
          <w:rFonts w:ascii="Times" w:hAnsi="Times" w:cs="Times"/>
          <w:color w:val="161616"/>
        </w:rPr>
      </w:pPr>
    </w:p>
    <w:p w14:paraId="4F60994E" w14:textId="77777777" w:rsidR="002769EA" w:rsidRDefault="002769EA" w:rsidP="00807D2C">
      <w:pPr>
        <w:widowControl w:val="0"/>
        <w:autoSpaceDE w:val="0"/>
        <w:autoSpaceDN w:val="0"/>
        <w:adjustRightInd w:val="0"/>
        <w:jc w:val="both"/>
        <w:rPr>
          <w:rFonts w:ascii="Times" w:hAnsi="Times" w:cs="Times"/>
          <w:color w:val="161616"/>
        </w:rPr>
      </w:pPr>
      <w:r>
        <w:rPr>
          <w:rFonts w:ascii="Times" w:hAnsi="Times" w:cs="Times"/>
          <w:color w:val="161616"/>
        </w:rPr>
        <w:t>5.</w:t>
      </w:r>
      <w:r>
        <w:rPr>
          <w:rFonts w:ascii="Times" w:hAnsi="Times" w:cs="Times"/>
          <w:color w:val="161616"/>
        </w:rPr>
        <w:tab/>
        <w:t xml:space="preserve">Decision-makers need to be aware of the degree of uncertainty attached to the results of the evaluation of the available scientific information. Judging what is an "acceptable" level of risk for society is an eminently </w:t>
      </w:r>
      <w:r>
        <w:rPr>
          <w:rFonts w:ascii="Times" w:hAnsi="Times" w:cs="Times"/>
          <w:i/>
          <w:iCs/>
          <w:color w:val="161616"/>
        </w:rPr>
        <w:t xml:space="preserve">political </w:t>
      </w:r>
      <w:r>
        <w:rPr>
          <w:rFonts w:ascii="Times" w:hAnsi="Times" w:cs="Times"/>
          <w:color w:val="161616"/>
        </w:rPr>
        <w:t xml:space="preserve">responsibility. </w:t>
      </w:r>
    </w:p>
    <w:p w14:paraId="47E63727" w14:textId="77777777" w:rsidR="002769EA" w:rsidRDefault="002769EA" w:rsidP="00807D2C">
      <w:pPr>
        <w:widowControl w:val="0"/>
        <w:autoSpaceDE w:val="0"/>
        <w:autoSpaceDN w:val="0"/>
        <w:adjustRightInd w:val="0"/>
        <w:jc w:val="both"/>
        <w:rPr>
          <w:rFonts w:ascii="Times" w:hAnsi="Times" w:cs="Times"/>
          <w:color w:val="161616"/>
        </w:rPr>
      </w:pPr>
    </w:p>
    <w:p w14:paraId="65DEA9A2" w14:textId="77777777" w:rsidR="002769EA" w:rsidRDefault="002769EA" w:rsidP="00807D2C">
      <w:pPr>
        <w:widowControl w:val="0"/>
        <w:autoSpaceDE w:val="0"/>
        <w:autoSpaceDN w:val="0"/>
        <w:adjustRightInd w:val="0"/>
        <w:jc w:val="both"/>
        <w:rPr>
          <w:rFonts w:ascii="Times" w:hAnsi="Times" w:cs="Times"/>
          <w:color w:val="161616"/>
        </w:rPr>
      </w:pPr>
      <w:r>
        <w:rPr>
          <w:rFonts w:ascii="Times" w:hAnsi="Times" w:cs="Times"/>
          <w:color w:val="161616"/>
        </w:rPr>
        <w:t>Decision-makers faced with an unacceptable risk, scientific uncertainty and public concerns have a duty to find answers. Therefore, all these factors have to be taken into consideration.</w:t>
      </w:r>
    </w:p>
    <w:p w14:paraId="2A1E9D38" w14:textId="77777777" w:rsidR="002769EA" w:rsidRDefault="002769EA" w:rsidP="00807D2C">
      <w:pPr>
        <w:widowControl w:val="0"/>
        <w:autoSpaceDE w:val="0"/>
        <w:autoSpaceDN w:val="0"/>
        <w:adjustRightInd w:val="0"/>
        <w:jc w:val="both"/>
        <w:rPr>
          <w:rFonts w:ascii="Times" w:hAnsi="Times" w:cs="Times"/>
          <w:color w:val="161616"/>
        </w:rPr>
      </w:pPr>
      <w:r>
        <w:rPr>
          <w:rFonts w:ascii="Times" w:hAnsi="Times" w:cs="Times"/>
          <w:color w:val="161616"/>
        </w:rPr>
        <w:t>In some cases, the right answer may be not to act or at least not to introduce a binding legal measure. A wide range of initiatives is available in the case of action, going from a legally binding measure to a research project or a recommendation.</w:t>
      </w:r>
    </w:p>
    <w:p w14:paraId="7382405D" w14:textId="77777777" w:rsidR="002769EA" w:rsidRDefault="002769EA" w:rsidP="00807D2C">
      <w:pPr>
        <w:widowControl w:val="0"/>
        <w:autoSpaceDE w:val="0"/>
        <w:autoSpaceDN w:val="0"/>
        <w:adjustRightInd w:val="0"/>
        <w:jc w:val="both"/>
        <w:rPr>
          <w:rFonts w:ascii="Times" w:hAnsi="Times" w:cs="Times"/>
          <w:color w:val="161616"/>
        </w:rPr>
      </w:pPr>
      <w:r>
        <w:rPr>
          <w:rFonts w:ascii="Times" w:hAnsi="Times" w:cs="Times"/>
          <w:color w:val="161616"/>
        </w:rPr>
        <w:t>The decision-making procedure should be transparent and should involve as early as possible and to the extent reasonably possible all interested parties.</w:t>
      </w:r>
    </w:p>
    <w:p w14:paraId="66EC1383" w14:textId="77777777" w:rsidR="00113664" w:rsidRDefault="00113664" w:rsidP="00807D2C">
      <w:pPr>
        <w:widowControl w:val="0"/>
        <w:autoSpaceDE w:val="0"/>
        <w:autoSpaceDN w:val="0"/>
        <w:adjustRightInd w:val="0"/>
        <w:jc w:val="both"/>
        <w:rPr>
          <w:rFonts w:ascii="Times" w:hAnsi="Times" w:cs="Times"/>
          <w:color w:val="161616"/>
        </w:rPr>
      </w:pPr>
    </w:p>
    <w:p w14:paraId="09B57FCE" w14:textId="77777777" w:rsidR="002769EA" w:rsidRDefault="002769EA" w:rsidP="00807D2C">
      <w:pPr>
        <w:widowControl w:val="0"/>
        <w:autoSpaceDE w:val="0"/>
        <w:autoSpaceDN w:val="0"/>
        <w:adjustRightInd w:val="0"/>
        <w:jc w:val="both"/>
        <w:rPr>
          <w:rFonts w:ascii="Times" w:hAnsi="Times" w:cs="Times"/>
          <w:color w:val="161616"/>
        </w:rPr>
      </w:pPr>
      <w:r>
        <w:rPr>
          <w:rFonts w:ascii="Times" w:hAnsi="Times" w:cs="Times"/>
          <w:color w:val="161616"/>
        </w:rPr>
        <w:t>6.</w:t>
      </w:r>
      <w:r>
        <w:rPr>
          <w:rFonts w:ascii="Times" w:hAnsi="Times" w:cs="Times"/>
          <w:color w:val="161616"/>
        </w:rPr>
        <w:tab/>
        <w:t xml:space="preserve">Where action is deemed necessary, measures based on the precautionary principle should be, </w:t>
      </w:r>
      <w:r>
        <w:rPr>
          <w:rFonts w:ascii="Times" w:hAnsi="Times" w:cs="Times"/>
          <w:i/>
          <w:iCs/>
          <w:color w:val="161616"/>
        </w:rPr>
        <w:t>inter alia</w:t>
      </w:r>
      <w:r>
        <w:rPr>
          <w:rFonts w:ascii="Times" w:hAnsi="Times" w:cs="Times"/>
          <w:color w:val="161616"/>
        </w:rPr>
        <w:t>:</w:t>
      </w:r>
    </w:p>
    <w:p w14:paraId="12F4B4F1" w14:textId="454E9EAC" w:rsidR="002769EA" w:rsidRDefault="002769EA" w:rsidP="00807D2C">
      <w:pPr>
        <w:pStyle w:val="ListParagraph"/>
        <w:widowControl w:val="0"/>
        <w:numPr>
          <w:ilvl w:val="0"/>
          <w:numId w:val="1"/>
        </w:numPr>
        <w:autoSpaceDE w:val="0"/>
        <w:autoSpaceDN w:val="0"/>
        <w:adjustRightInd w:val="0"/>
        <w:jc w:val="both"/>
        <w:rPr>
          <w:rFonts w:ascii="Times" w:hAnsi="Times" w:cs="Times"/>
          <w:color w:val="161616"/>
        </w:rPr>
      </w:pPr>
      <w:proofErr w:type="gramStart"/>
      <w:r w:rsidRPr="00807D2C">
        <w:rPr>
          <w:rFonts w:ascii="Times" w:hAnsi="Times" w:cs="Times"/>
          <w:i/>
          <w:iCs/>
          <w:color w:val="161616"/>
        </w:rPr>
        <w:t>proportional</w:t>
      </w:r>
      <w:proofErr w:type="gramEnd"/>
      <w:r w:rsidRPr="00807D2C">
        <w:rPr>
          <w:rFonts w:ascii="Times" w:hAnsi="Times" w:cs="Times"/>
          <w:i/>
          <w:iCs/>
          <w:color w:val="161616"/>
        </w:rPr>
        <w:t xml:space="preserve"> </w:t>
      </w:r>
      <w:r w:rsidRPr="00807D2C">
        <w:rPr>
          <w:rFonts w:ascii="Times" w:hAnsi="Times" w:cs="Times"/>
          <w:color w:val="161616"/>
        </w:rPr>
        <w:t xml:space="preserve">to the chosen level of protection, </w:t>
      </w:r>
      <w:r w:rsidRPr="00807D2C">
        <w:rPr>
          <w:rFonts w:ascii="Symbol" w:hAnsi="Symbol" w:cs="Symbol" w:hint="eastAsia"/>
          <w:color w:val="161616"/>
        </w:rPr>
        <w:t>•</w:t>
      </w:r>
      <w:r w:rsidRPr="00807D2C">
        <w:rPr>
          <w:rFonts w:ascii="Symbol" w:hAnsi="Symbol" w:cs="Symbol"/>
          <w:color w:val="161616"/>
        </w:rPr>
        <w:tab/>
      </w:r>
      <w:r w:rsidRPr="00807D2C">
        <w:rPr>
          <w:rFonts w:ascii="Times" w:hAnsi="Times" w:cs="Times"/>
          <w:i/>
          <w:iCs/>
          <w:color w:val="161616"/>
        </w:rPr>
        <w:t xml:space="preserve">non-discriminatory </w:t>
      </w:r>
      <w:r w:rsidRPr="00807D2C">
        <w:rPr>
          <w:rFonts w:ascii="Times" w:hAnsi="Times" w:cs="Times"/>
          <w:color w:val="161616"/>
        </w:rPr>
        <w:t xml:space="preserve">in their application, </w:t>
      </w:r>
      <w:r w:rsidRPr="00807D2C">
        <w:rPr>
          <w:rFonts w:ascii="Symbol" w:hAnsi="Symbol" w:cs="Symbol" w:hint="eastAsia"/>
          <w:color w:val="161616"/>
        </w:rPr>
        <w:t>•</w:t>
      </w:r>
      <w:r w:rsidRPr="00807D2C">
        <w:rPr>
          <w:rFonts w:ascii="Symbol" w:hAnsi="Symbol" w:cs="Symbol"/>
          <w:color w:val="161616"/>
        </w:rPr>
        <w:tab/>
      </w:r>
      <w:r w:rsidRPr="00807D2C">
        <w:rPr>
          <w:rFonts w:ascii="Times" w:hAnsi="Times" w:cs="Times"/>
          <w:i/>
          <w:iCs/>
          <w:color w:val="161616"/>
        </w:rPr>
        <w:t xml:space="preserve">consistent </w:t>
      </w:r>
      <w:r w:rsidRPr="00807D2C">
        <w:rPr>
          <w:rFonts w:ascii="Times" w:hAnsi="Times" w:cs="Times"/>
          <w:color w:val="161616"/>
        </w:rPr>
        <w:t>with similar measures already taken,</w:t>
      </w:r>
    </w:p>
    <w:p w14:paraId="0D49B86B" w14:textId="77777777" w:rsidR="00807D2C" w:rsidRPr="00807D2C" w:rsidRDefault="00807D2C" w:rsidP="00807D2C">
      <w:pPr>
        <w:pStyle w:val="ListParagraph"/>
        <w:widowControl w:val="0"/>
        <w:autoSpaceDE w:val="0"/>
        <w:autoSpaceDN w:val="0"/>
        <w:adjustRightInd w:val="0"/>
        <w:jc w:val="both"/>
        <w:rPr>
          <w:rFonts w:ascii="Times" w:hAnsi="Times" w:cs="Times"/>
          <w:color w:val="161616"/>
        </w:rPr>
      </w:pPr>
    </w:p>
    <w:p w14:paraId="50CE3061" w14:textId="742A13E2" w:rsidR="002769EA" w:rsidRDefault="002769EA" w:rsidP="00807D2C">
      <w:pPr>
        <w:pStyle w:val="ListParagraph"/>
        <w:widowControl w:val="0"/>
        <w:numPr>
          <w:ilvl w:val="0"/>
          <w:numId w:val="1"/>
        </w:numPr>
        <w:autoSpaceDE w:val="0"/>
        <w:autoSpaceDN w:val="0"/>
        <w:adjustRightInd w:val="0"/>
        <w:jc w:val="both"/>
        <w:rPr>
          <w:rFonts w:ascii="Times" w:hAnsi="Times" w:cs="Times"/>
          <w:color w:val="161616"/>
        </w:rPr>
      </w:pPr>
      <w:proofErr w:type="gramStart"/>
      <w:r w:rsidRPr="00807D2C">
        <w:rPr>
          <w:rFonts w:ascii="Times" w:hAnsi="Times" w:cs="Times"/>
          <w:i/>
          <w:iCs/>
          <w:color w:val="161616"/>
        </w:rPr>
        <w:t>based</w:t>
      </w:r>
      <w:proofErr w:type="gramEnd"/>
      <w:r w:rsidRPr="00807D2C">
        <w:rPr>
          <w:rFonts w:ascii="Times" w:hAnsi="Times" w:cs="Times"/>
          <w:i/>
          <w:iCs/>
          <w:color w:val="161616"/>
        </w:rPr>
        <w:t xml:space="preserve"> on an examination of the potential benefits and costs </w:t>
      </w:r>
      <w:r w:rsidRPr="00807D2C">
        <w:rPr>
          <w:rFonts w:ascii="Times" w:hAnsi="Times" w:cs="Times"/>
          <w:color w:val="161616"/>
        </w:rPr>
        <w:t>of action or lack of action (including, where appropriate and feasible, an economic cost/benefit analysis),</w:t>
      </w:r>
    </w:p>
    <w:p w14:paraId="6034A953" w14:textId="77777777" w:rsidR="00807D2C" w:rsidRPr="00807D2C" w:rsidRDefault="00807D2C" w:rsidP="00807D2C">
      <w:pPr>
        <w:pStyle w:val="ListParagraph"/>
        <w:widowControl w:val="0"/>
        <w:autoSpaceDE w:val="0"/>
        <w:autoSpaceDN w:val="0"/>
        <w:adjustRightInd w:val="0"/>
        <w:jc w:val="both"/>
        <w:rPr>
          <w:rFonts w:ascii="Times" w:hAnsi="Times" w:cs="Times"/>
          <w:color w:val="161616"/>
        </w:rPr>
      </w:pPr>
    </w:p>
    <w:p w14:paraId="227CC9AE" w14:textId="77777777" w:rsidR="00807D2C" w:rsidRDefault="002769EA" w:rsidP="00807D2C">
      <w:pPr>
        <w:widowControl w:val="0"/>
        <w:autoSpaceDE w:val="0"/>
        <w:autoSpaceDN w:val="0"/>
        <w:adjustRightInd w:val="0"/>
        <w:jc w:val="both"/>
        <w:rPr>
          <w:rFonts w:ascii="Times" w:hAnsi="Times" w:cs="Times"/>
          <w:color w:val="161616"/>
        </w:rPr>
      </w:pPr>
      <w:proofErr w:type="gramStart"/>
      <w:r w:rsidRPr="00807D2C">
        <w:rPr>
          <w:rFonts w:ascii="Times" w:hAnsi="Times" w:cs="Times"/>
          <w:i/>
          <w:iCs/>
          <w:color w:val="161616"/>
        </w:rPr>
        <w:t>subject</w:t>
      </w:r>
      <w:proofErr w:type="gramEnd"/>
      <w:r w:rsidRPr="00807D2C">
        <w:rPr>
          <w:rFonts w:ascii="Times" w:hAnsi="Times" w:cs="Times"/>
          <w:i/>
          <w:iCs/>
          <w:color w:val="161616"/>
        </w:rPr>
        <w:t xml:space="preserve"> to review, </w:t>
      </w:r>
      <w:r w:rsidRPr="00807D2C">
        <w:rPr>
          <w:rFonts w:ascii="Times" w:hAnsi="Times" w:cs="Times"/>
          <w:color w:val="161616"/>
        </w:rPr>
        <w:t xml:space="preserve">in the light of new scientific data, and </w:t>
      </w:r>
      <w:r w:rsidRPr="00807D2C">
        <w:rPr>
          <w:rFonts w:ascii="Symbol" w:hAnsi="Symbol" w:cs="Symbol" w:hint="eastAsia"/>
          <w:color w:val="161616"/>
        </w:rPr>
        <w:t>•</w:t>
      </w:r>
      <w:r w:rsidRPr="00807D2C">
        <w:rPr>
          <w:rFonts w:ascii="Symbol" w:hAnsi="Symbol" w:cs="Symbol"/>
          <w:color w:val="161616"/>
        </w:rPr>
        <w:t></w:t>
      </w:r>
      <w:r w:rsidRPr="00807D2C">
        <w:rPr>
          <w:rFonts w:ascii="Times" w:hAnsi="Times" w:cs="Times"/>
          <w:i/>
          <w:iCs/>
          <w:color w:val="161616"/>
        </w:rPr>
        <w:t>capable of assigning responsibility for producing the scientific evidence</w:t>
      </w:r>
      <w:r w:rsidR="00807D2C">
        <w:rPr>
          <w:rFonts w:ascii="Times" w:hAnsi="Times" w:cs="Times"/>
          <w:i/>
          <w:iCs/>
          <w:color w:val="161616"/>
        </w:rPr>
        <w:t xml:space="preserve"> </w:t>
      </w:r>
      <w:r w:rsidR="00807D2C">
        <w:rPr>
          <w:rFonts w:ascii="Times" w:hAnsi="Times" w:cs="Times"/>
          <w:color w:val="161616"/>
        </w:rPr>
        <w:t>necessary for a more comprehensive risk assessment.</w:t>
      </w:r>
    </w:p>
    <w:p w14:paraId="2851D534" w14:textId="77777777" w:rsidR="00807D2C" w:rsidRDefault="00807D2C" w:rsidP="00807D2C">
      <w:pPr>
        <w:widowControl w:val="0"/>
        <w:autoSpaceDE w:val="0"/>
        <w:autoSpaceDN w:val="0"/>
        <w:adjustRightInd w:val="0"/>
        <w:jc w:val="both"/>
        <w:rPr>
          <w:rFonts w:ascii="Times" w:hAnsi="Times" w:cs="Times"/>
          <w:color w:val="161616"/>
        </w:rPr>
      </w:pPr>
    </w:p>
    <w:p w14:paraId="1122E73C" w14:textId="57EC621D" w:rsidR="002769EA" w:rsidRPr="00807D2C" w:rsidRDefault="002769EA" w:rsidP="00807D2C">
      <w:pPr>
        <w:pStyle w:val="ListParagraph"/>
        <w:widowControl w:val="0"/>
        <w:autoSpaceDE w:val="0"/>
        <w:autoSpaceDN w:val="0"/>
        <w:adjustRightInd w:val="0"/>
        <w:jc w:val="both"/>
        <w:rPr>
          <w:rFonts w:ascii="Times" w:hAnsi="Times" w:cs="Times"/>
          <w:color w:val="161616"/>
        </w:rPr>
      </w:pPr>
      <w:bookmarkStart w:id="0" w:name="_GoBack"/>
      <w:bookmarkEnd w:id="0"/>
    </w:p>
    <w:p w14:paraId="416F418A" w14:textId="77777777" w:rsidR="00CC2814" w:rsidRDefault="002769EA" w:rsidP="00807D2C">
      <w:pPr>
        <w:pStyle w:val="ListParagraph"/>
        <w:numPr>
          <w:ilvl w:val="0"/>
          <w:numId w:val="1"/>
        </w:numPr>
        <w:jc w:val="both"/>
      </w:pPr>
      <w:r w:rsidRPr="00807D2C">
        <w:rPr>
          <w:rFonts w:ascii="Times" w:hAnsi="Times" w:cs="Times"/>
          <w:i/>
          <w:iCs/>
          <w:color w:val="161616"/>
        </w:rPr>
        <w:lastRenderedPageBreak/>
        <w:t xml:space="preserve">Proportionality </w:t>
      </w:r>
      <w:r w:rsidRPr="00807D2C">
        <w:rPr>
          <w:rFonts w:ascii="Times" w:hAnsi="Times" w:cs="Times"/>
          <w:color w:val="161616"/>
        </w:rPr>
        <w:t>means tailoring measures to the chosen level of protection. Risk can rarely be reduced to zero, but incomplete risk assessments may greatly reduce the range of options open to risk managers. A total ban may not be a proportional response to a potential risk in all cases. However, in certain cases, it is the sole possible response to a given risk</w:t>
      </w:r>
    </w:p>
    <w:sectPr w:rsidR="00CC2814" w:rsidSect="00CC2814">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250362"/>
    <w:multiLevelType w:val="hybridMultilevel"/>
    <w:tmpl w:val="CCD8F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9EA"/>
    <w:rsid w:val="00113664"/>
    <w:rsid w:val="002769EA"/>
    <w:rsid w:val="00807D2C"/>
    <w:rsid w:val="00CC28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01AD4A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7D2C"/>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7D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426</Words>
  <Characters>2432</Characters>
  <Application>Microsoft Macintosh Word</Application>
  <DocSecurity>0</DocSecurity>
  <Lines>20</Lines>
  <Paragraphs>5</Paragraphs>
  <ScaleCrop>false</ScaleCrop>
  <Company/>
  <LinksUpToDate>false</LinksUpToDate>
  <CharactersWithSpaces>2853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Ruthe</dc:creator>
  <cp:keywords/>
  <dc:description/>
  <cp:lastModifiedBy>Christopher Ruthe</cp:lastModifiedBy>
  <cp:revision>3</cp:revision>
  <dcterms:created xsi:type="dcterms:W3CDTF">2014-11-21T19:56:00Z</dcterms:created>
  <dcterms:modified xsi:type="dcterms:W3CDTF">2015-04-16T21:44:00Z</dcterms:modified>
</cp:coreProperties>
</file>