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FAFAC" w14:textId="77777777" w:rsidR="00CC2814" w:rsidRDefault="008C6DC2">
      <w:pPr>
        <w:rPr>
          <w:b/>
        </w:rPr>
      </w:pPr>
      <w:r>
        <w:rPr>
          <w:b/>
        </w:rPr>
        <w:t>WELL BEING THE EVIDENCE</w:t>
      </w:r>
    </w:p>
    <w:p w14:paraId="0B634D8D" w14:textId="77777777" w:rsidR="00CC3770" w:rsidRDefault="00CC3770">
      <w:pPr>
        <w:rPr>
          <w:b/>
        </w:rPr>
      </w:pPr>
    </w:p>
    <w:p w14:paraId="7BA2DB8F" w14:textId="77777777" w:rsidR="00CC3770" w:rsidRPr="00CC3770" w:rsidRDefault="00CC3770">
      <w:r w:rsidRPr="00CC3770">
        <w:t>The RMA states</w:t>
      </w:r>
    </w:p>
    <w:p w14:paraId="31CDE5C6" w14:textId="77777777" w:rsidR="00CC3770" w:rsidRPr="00CC3770" w:rsidRDefault="00CC3770" w:rsidP="00CC377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CC3770">
        <w:rPr>
          <w:rFonts w:ascii="Times New Roman" w:hAnsi="Times New Roman" w:cs="Times New Roman"/>
          <w:b/>
          <w:bCs/>
        </w:rPr>
        <w:t>Purpose and principles</w:t>
      </w:r>
    </w:p>
    <w:p w14:paraId="42F4BB44" w14:textId="77777777" w:rsidR="00CC3770" w:rsidRPr="00CC3770" w:rsidRDefault="00CC3770" w:rsidP="00CC377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proofErr w:type="gramStart"/>
      <w:r>
        <w:rPr>
          <w:rFonts w:ascii="Times New Roman" w:hAnsi="Times New Roman" w:cs="Times New Roman"/>
          <w:b/>
          <w:bCs/>
        </w:rPr>
        <w:t>s</w:t>
      </w:r>
      <w:proofErr w:type="gramEnd"/>
      <w:r>
        <w:rPr>
          <w:rFonts w:ascii="Times New Roman" w:hAnsi="Times New Roman" w:cs="Times New Roman"/>
          <w:b/>
          <w:bCs/>
        </w:rPr>
        <w:t>.</w:t>
      </w:r>
      <w:r w:rsidRPr="00CC3770">
        <w:rPr>
          <w:rFonts w:ascii="Times New Roman" w:hAnsi="Times New Roman" w:cs="Times New Roman"/>
          <w:b/>
          <w:bCs/>
        </w:rPr>
        <w:t>5</w:t>
      </w:r>
    </w:p>
    <w:p w14:paraId="41C0ED7B" w14:textId="77777777" w:rsidR="00CC3770" w:rsidRPr="00CC3770" w:rsidRDefault="00CC3770" w:rsidP="00CC377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C3770">
        <w:rPr>
          <w:rFonts w:ascii="Times New Roman" w:hAnsi="Times New Roman" w:cs="Times New Roman"/>
          <w:b/>
          <w:bCs/>
        </w:rPr>
        <w:t>Purpose</w:t>
      </w:r>
    </w:p>
    <w:p w14:paraId="21634FFE" w14:textId="77777777" w:rsidR="00CC3770" w:rsidRPr="00CC3770" w:rsidRDefault="00CC3770" w:rsidP="00CC3770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262626"/>
        </w:rPr>
      </w:pPr>
      <w:r>
        <w:rPr>
          <w:rFonts w:ascii="Times New Roman" w:hAnsi="Times New Roman" w:cs="Times New Roman"/>
          <w:sz w:val="34"/>
          <w:szCs w:val="34"/>
        </w:rPr>
        <w:tab/>
      </w:r>
      <w:r>
        <w:rPr>
          <w:rFonts w:ascii="Times New Roman" w:hAnsi="Times New Roman" w:cs="Times New Roman"/>
          <w:sz w:val="34"/>
          <w:szCs w:val="34"/>
        </w:rPr>
        <w:tab/>
      </w:r>
      <w:r w:rsidRPr="00CC3770">
        <w:rPr>
          <w:rFonts w:ascii="Times New Roman" w:hAnsi="Times New Roman" w:cs="Times New Roman"/>
        </w:rPr>
        <w:t>(1) The purpose of this Act is to promote the sustainable management of natural and physical resources</w:t>
      </w:r>
      <w:proofErr w:type="gramStart"/>
      <w:r w:rsidRPr="00CC3770">
        <w:rPr>
          <w:rFonts w:ascii="Times New Roman" w:hAnsi="Times New Roman" w:cs="Times New Roman"/>
        </w:rPr>
        <w:t>. </w:t>
      </w:r>
      <w:proofErr w:type="gramEnd"/>
      <w:r w:rsidRPr="00CC3770">
        <w:rPr>
          <w:rFonts w:cs="Arial"/>
          <w:color w:val="262626"/>
        </w:rPr>
        <w:t> </w:t>
      </w:r>
      <w:r w:rsidRPr="00CC3770">
        <w:rPr>
          <w:rFonts w:ascii="Times New Roman" w:hAnsi="Times New Roman" w:cs="Times New Roman"/>
        </w:rPr>
        <w:t xml:space="preserve">(2) In this Act, </w:t>
      </w:r>
      <w:r w:rsidRPr="00CC3770">
        <w:rPr>
          <w:rFonts w:ascii="Times New Roman" w:hAnsi="Times New Roman" w:cs="Times New Roman"/>
          <w:b/>
          <w:bCs/>
        </w:rPr>
        <w:t>sustainable management</w:t>
      </w:r>
      <w:r w:rsidRPr="00CC3770">
        <w:rPr>
          <w:rFonts w:ascii="Times New Roman" w:hAnsi="Times New Roman" w:cs="Times New Roman"/>
        </w:rPr>
        <w:t xml:space="preserve"> means managing the use, development, and protection of natural and physical resources in a way, or at a rate, which enables people and communities to provide for their social, economic, and cultural well-being and for their health and safety while—</w:t>
      </w:r>
    </w:p>
    <w:p w14:paraId="7A00819C" w14:textId="77777777" w:rsidR="00CC3770" w:rsidRPr="00CC3770" w:rsidRDefault="00CC3770" w:rsidP="00CC3770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  <w:r w:rsidRPr="00CC3770">
        <w:rPr>
          <w:rFonts w:ascii="Times New Roman" w:hAnsi="Times New Roman" w:cs="Times New Roman"/>
        </w:rPr>
        <w:tab/>
      </w:r>
      <w:r w:rsidRPr="00CC3770">
        <w:rPr>
          <w:rFonts w:ascii="Times New Roman" w:hAnsi="Times New Roman" w:cs="Times New Roman"/>
        </w:rPr>
        <w:tab/>
        <w:t>(</w:t>
      </w:r>
      <w:proofErr w:type="gramStart"/>
      <w:r w:rsidRPr="00CC3770">
        <w:rPr>
          <w:rFonts w:ascii="Times New Roman" w:hAnsi="Times New Roman" w:cs="Times New Roman"/>
        </w:rPr>
        <w:t>a</w:t>
      </w:r>
      <w:proofErr w:type="gramEnd"/>
      <w:r w:rsidRPr="00CC3770">
        <w:rPr>
          <w:rFonts w:ascii="Times New Roman" w:hAnsi="Times New Roman" w:cs="Times New Roman"/>
        </w:rPr>
        <w:t>) sustaining the potential of natural and physical resources (excluding minerals) to meet the reasonably foreseeable needs of future generations; and</w:t>
      </w:r>
    </w:p>
    <w:p w14:paraId="007942AC" w14:textId="77777777" w:rsidR="00CC3770" w:rsidRPr="00CC3770" w:rsidRDefault="00CC3770" w:rsidP="00CC3770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  <w:r w:rsidRPr="00CC3770">
        <w:rPr>
          <w:rFonts w:ascii="Times New Roman" w:hAnsi="Times New Roman" w:cs="Times New Roman"/>
        </w:rPr>
        <w:tab/>
      </w:r>
      <w:r w:rsidRPr="00CC3770">
        <w:rPr>
          <w:rFonts w:ascii="Times New Roman" w:hAnsi="Times New Roman" w:cs="Times New Roman"/>
        </w:rPr>
        <w:tab/>
        <w:t>(</w:t>
      </w:r>
      <w:proofErr w:type="gramStart"/>
      <w:r w:rsidRPr="00CC3770">
        <w:rPr>
          <w:rFonts w:ascii="Times New Roman" w:hAnsi="Times New Roman" w:cs="Times New Roman"/>
        </w:rPr>
        <w:t>b</w:t>
      </w:r>
      <w:proofErr w:type="gramEnd"/>
      <w:r w:rsidRPr="00CC3770">
        <w:rPr>
          <w:rFonts w:ascii="Times New Roman" w:hAnsi="Times New Roman" w:cs="Times New Roman"/>
        </w:rPr>
        <w:t>) safeguarding the life-supporting capacity of air, water, soil, and ecosystems; and</w:t>
      </w:r>
    </w:p>
    <w:p w14:paraId="46FF83D8" w14:textId="77777777" w:rsidR="00CC3770" w:rsidRDefault="00CC3770" w:rsidP="00CC3770">
      <w:pPr>
        <w:rPr>
          <w:rFonts w:ascii="Times New Roman" w:hAnsi="Times New Roman" w:cs="Times New Roman"/>
        </w:rPr>
      </w:pPr>
      <w:r w:rsidRPr="00CC3770">
        <w:rPr>
          <w:rFonts w:ascii="Times New Roman" w:hAnsi="Times New Roman" w:cs="Times New Roman"/>
        </w:rPr>
        <w:tab/>
      </w:r>
      <w:r w:rsidRPr="00CC3770">
        <w:rPr>
          <w:rFonts w:ascii="Times New Roman" w:hAnsi="Times New Roman" w:cs="Times New Roman"/>
        </w:rPr>
        <w:tab/>
        <w:t>(</w:t>
      </w:r>
      <w:proofErr w:type="gramStart"/>
      <w:r w:rsidRPr="00CC3770">
        <w:rPr>
          <w:rFonts w:ascii="Times New Roman" w:hAnsi="Times New Roman" w:cs="Times New Roman"/>
        </w:rPr>
        <w:t>c</w:t>
      </w:r>
      <w:proofErr w:type="gramEnd"/>
      <w:r w:rsidRPr="00CC3770">
        <w:rPr>
          <w:rFonts w:ascii="Times New Roman" w:hAnsi="Times New Roman" w:cs="Times New Roman"/>
        </w:rPr>
        <w:t>) avoiding, remedying, or mitigating any adverse effects of activities on the environment.</w:t>
      </w:r>
    </w:p>
    <w:p w14:paraId="756566E7" w14:textId="77777777" w:rsidR="0081531A" w:rsidRDefault="0081531A" w:rsidP="00CC3770">
      <w:pPr>
        <w:rPr>
          <w:rFonts w:ascii="Times New Roman" w:hAnsi="Times New Roman" w:cs="Times New Roman"/>
        </w:rPr>
      </w:pPr>
    </w:p>
    <w:p w14:paraId="4E29B1D0" w14:textId="77777777" w:rsidR="0081531A" w:rsidRDefault="0081531A" w:rsidP="00CC3770">
      <w:pPr>
        <w:rPr>
          <w:rFonts w:ascii="Times New Roman" w:hAnsi="Times New Roman" w:cs="Times New Roman"/>
        </w:rPr>
      </w:pPr>
    </w:p>
    <w:p w14:paraId="5DE5117A" w14:textId="77777777" w:rsidR="0081531A" w:rsidRPr="0081531A" w:rsidRDefault="0081531A" w:rsidP="0081531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iCs/>
        </w:rPr>
      </w:pPr>
      <w:r w:rsidRPr="0081531A">
        <w:rPr>
          <w:rFonts w:ascii="Times New Roman" w:hAnsi="Times New Roman" w:cs="Times New Roman"/>
          <w:i/>
          <w:iCs/>
        </w:rPr>
        <w:t>District plans</w:t>
      </w:r>
    </w:p>
    <w:p w14:paraId="37DC61BE" w14:textId="77777777" w:rsidR="0081531A" w:rsidRPr="0081531A" w:rsidRDefault="0081531A" w:rsidP="008153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1531A">
        <w:rPr>
          <w:rFonts w:ascii="Times New Roman" w:hAnsi="Times New Roman" w:cs="Times New Roman"/>
          <w:b/>
          <w:bCs/>
        </w:rPr>
        <w:t>72</w:t>
      </w:r>
    </w:p>
    <w:p w14:paraId="1C9E897F" w14:textId="77777777" w:rsidR="0081531A" w:rsidRPr="0081531A" w:rsidRDefault="0081531A" w:rsidP="008153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1531A">
        <w:rPr>
          <w:rFonts w:ascii="Times New Roman" w:hAnsi="Times New Roman" w:cs="Times New Roman"/>
          <w:b/>
          <w:bCs/>
        </w:rPr>
        <w:t>Purpose of district plans</w:t>
      </w:r>
    </w:p>
    <w:p w14:paraId="090D8DF4" w14:textId="77777777" w:rsidR="0081531A" w:rsidRPr="0081531A" w:rsidRDefault="0081531A" w:rsidP="0081531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262626"/>
        </w:rPr>
      </w:pPr>
      <w:r w:rsidRPr="0081531A">
        <w:rPr>
          <w:rFonts w:ascii="Times New Roman" w:hAnsi="Times New Roman" w:cs="Times New Roman"/>
        </w:rPr>
        <w:tab/>
      </w:r>
      <w:r w:rsidRPr="0081531A">
        <w:rPr>
          <w:rFonts w:ascii="Times New Roman" w:hAnsi="Times New Roman" w:cs="Times New Roman"/>
        </w:rPr>
        <w:tab/>
        <w:t>The purpose of the preparation, implementation, and administration of district plans is to assist territorial authorities to carry out their functions in order to achieve the purpose of this Act</w:t>
      </w:r>
      <w:proofErr w:type="gramStart"/>
      <w:r w:rsidRPr="0081531A">
        <w:rPr>
          <w:rFonts w:ascii="Times New Roman" w:hAnsi="Times New Roman" w:cs="Times New Roman"/>
        </w:rPr>
        <w:t>. </w:t>
      </w:r>
      <w:proofErr w:type="gramEnd"/>
    </w:p>
    <w:p w14:paraId="680B81AF" w14:textId="77777777" w:rsidR="0081531A" w:rsidRPr="0081531A" w:rsidRDefault="0081531A" w:rsidP="0081531A">
      <w:pPr>
        <w:widowControl w:val="0"/>
        <w:autoSpaceDE w:val="0"/>
        <w:autoSpaceDN w:val="0"/>
        <w:adjustRightInd w:val="0"/>
        <w:rPr>
          <w:rFonts w:cs="Arial"/>
          <w:color w:val="262626"/>
        </w:rPr>
      </w:pPr>
    </w:p>
    <w:p w14:paraId="1C7B11AF" w14:textId="77777777" w:rsidR="0081531A" w:rsidRDefault="0081531A" w:rsidP="0081531A">
      <w:pPr>
        <w:widowControl w:val="0"/>
        <w:autoSpaceDE w:val="0"/>
        <w:autoSpaceDN w:val="0"/>
        <w:adjustRightInd w:val="0"/>
        <w:rPr>
          <w:rFonts w:cs="Arial"/>
          <w:color w:val="262626"/>
          <w:sz w:val="26"/>
          <w:szCs w:val="26"/>
        </w:rPr>
      </w:pPr>
    </w:p>
    <w:p w14:paraId="65B7FDDF" w14:textId="77777777" w:rsidR="0081531A" w:rsidRPr="0081531A" w:rsidRDefault="0081531A" w:rsidP="008153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1531A">
        <w:rPr>
          <w:rFonts w:ascii="Times New Roman" w:hAnsi="Times New Roman" w:cs="Times New Roman"/>
          <w:b/>
          <w:bCs/>
        </w:rPr>
        <w:t>32</w:t>
      </w:r>
    </w:p>
    <w:p w14:paraId="5E93320C" w14:textId="77777777" w:rsidR="0081531A" w:rsidRPr="0081531A" w:rsidRDefault="0081531A" w:rsidP="0081531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81531A">
        <w:rPr>
          <w:rFonts w:ascii="Times New Roman" w:hAnsi="Times New Roman" w:cs="Times New Roman"/>
          <w:b/>
          <w:bCs/>
        </w:rPr>
        <w:t>Consideration of alternatives, benefits, and costs</w:t>
      </w:r>
    </w:p>
    <w:p w14:paraId="7D27E2BE" w14:textId="754F6AE7" w:rsidR="0081531A" w:rsidRPr="00EF1074" w:rsidRDefault="0081531A" w:rsidP="00EF107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262626"/>
        </w:rPr>
      </w:pPr>
    </w:p>
    <w:p w14:paraId="7E327F97" w14:textId="77777777" w:rsidR="0081531A" w:rsidRPr="0081531A" w:rsidRDefault="0081531A" w:rsidP="0081531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262626"/>
        </w:rPr>
      </w:pPr>
      <w:r w:rsidRPr="0081531A">
        <w:rPr>
          <w:rFonts w:cs="Arial"/>
          <w:color w:val="262626"/>
        </w:rPr>
        <w:tab/>
      </w:r>
      <w:r w:rsidRPr="0081531A">
        <w:rPr>
          <w:rFonts w:cs="Arial"/>
          <w:color w:val="262626"/>
        </w:rPr>
        <w:tab/>
        <w:t> </w:t>
      </w:r>
      <w:r w:rsidRPr="0081531A">
        <w:rPr>
          <w:rFonts w:ascii="Times New Roman" w:hAnsi="Times New Roman" w:cs="Times New Roman"/>
        </w:rPr>
        <w:t>(3) An evaluation must examine—</w:t>
      </w:r>
    </w:p>
    <w:p w14:paraId="7255CBB3" w14:textId="77777777" w:rsidR="0081531A" w:rsidRPr="0081531A" w:rsidRDefault="0081531A" w:rsidP="0081531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  <w:r w:rsidRPr="0081531A">
        <w:rPr>
          <w:rFonts w:ascii="Times New Roman" w:hAnsi="Times New Roman" w:cs="Times New Roman"/>
        </w:rPr>
        <w:tab/>
      </w:r>
      <w:r w:rsidRPr="0081531A">
        <w:rPr>
          <w:rFonts w:ascii="Times New Roman" w:hAnsi="Times New Roman" w:cs="Times New Roman"/>
        </w:rPr>
        <w:tab/>
        <w:t>(</w:t>
      </w:r>
      <w:proofErr w:type="gramStart"/>
      <w:r w:rsidRPr="0081531A">
        <w:rPr>
          <w:rFonts w:ascii="Times New Roman" w:hAnsi="Times New Roman" w:cs="Times New Roman"/>
        </w:rPr>
        <w:t>a</w:t>
      </w:r>
      <w:proofErr w:type="gramEnd"/>
      <w:r w:rsidRPr="0081531A">
        <w:rPr>
          <w:rFonts w:ascii="Times New Roman" w:hAnsi="Times New Roman" w:cs="Times New Roman"/>
        </w:rPr>
        <w:t>) the extent to which each objective is the most appropriate way to achieve the purpose of this Act; and</w:t>
      </w:r>
    </w:p>
    <w:p w14:paraId="60747801" w14:textId="77777777" w:rsidR="0081531A" w:rsidRPr="0081531A" w:rsidRDefault="0081531A" w:rsidP="0081531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  <w:r w:rsidRPr="0081531A">
        <w:rPr>
          <w:rFonts w:ascii="Times New Roman" w:hAnsi="Times New Roman" w:cs="Times New Roman"/>
        </w:rPr>
        <w:tab/>
      </w:r>
      <w:r w:rsidRPr="0081531A">
        <w:rPr>
          <w:rFonts w:ascii="Times New Roman" w:hAnsi="Times New Roman" w:cs="Times New Roman"/>
        </w:rPr>
        <w:tab/>
        <w:t>(</w:t>
      </w:r>
      <w:proofErr w:type="gramStart"/>
      <w:r w:rsidRPr="0081531A">
        <w:rPr>
          <w:rFonts w:ascii="Times New Roman" w:hAnsi="Times New Roman" w:cs="Times New Roman"/>
        </w:rPr>
        <w:t>b</w:t>
      </w:r>
      <w:proofErr w:type="gramEnd"/>
      <w:r w:rsidRPr="0081531A">
        <w:rPr>
          <w:rFonts w:ascii="Times New Roman" w:hAnsi="Times New Roman" w:cs="Times New Roman"/>
        </w:rPr>
        <w:t>) whether, having regard to their efficiency and effectiveness, the policies, rules, or other methods are the most appropriate for achieving the objectives.</w:t>
      </w:r>
    </w:p>
    <w:p w14:paraId="6F2CA071" w14:textId="77777777" w:rsidR="0081531A" w:rsidRPr="0081531A" w:rsidRDefault="0081531A" w:rsidP="0081531A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cs="Arial"/>
          <w:color w:val="262626"/>
        </w:rPr>
      </w:pPr>
      <w:r w:rsidRPr="0081531A">
        <w:rPr>
          <w:rFonts w:cs="Arial"/>
          <w:color w:val="262626"/>
        </w:rPr>
        <w:tab/>
      </w:r>
      <w:r w:rsidRPr="0081531A">
        <w:rPr>
          <w:rFonts w:cs="Arial"/>
          <w:color w:val="262626"/>
        </w:rPr>
        <w:tab/>
        <w:t> </w:t>
      </w:r>
      <w:r w:rsidRPr="0081531A">
        <w:rPr>
          <w:rFonts w:ascii="Times New Roman" w:hAnsi="Times New Roman" w:cs="Times New Roman"/>
        </w:rPr>
        <w:t>(3A) This subsection applies to a rule that imposes a greater prohibition or restriction on an activity to which a national environmental standard applies than any prohibition or restriction in the standard. The evaluation of such a rule must examine whether the prohibition or restriction it imposes is justified in the circumstances of the region or district</w:t>
      </w:r>
      <w:proofErr w:type="gramStart"/>
      <w:r w:rsidRPr="0081531A">
        <w:rPr>
          <w:rFonts w:ascii="Times New Roman" w:hAnsi="Times New Roman" w:cs="Times New Roman"/>
        </w:rPr>
        <w:t>. </w:t>
      </w:r>
      <w:proofErr w:type="gramEnd"/>
      <w:r w:rsidRPr="0081531A">
        <w:rPr>
          <w:rFonts w:cs="Arial"/>
          <w:color w:val="262626"/>
        </w:rPr>
        <w:t> </w:t>
      </w:r>
      <w:r w:rsidRPr="0081531A">
        <w:rPr>
          <w:rFonts w:ascii="Times New Roman" w:hAnsi="Times New Roman" w:cs="Times New Roman"/>
        </w:rPr>
        <w:t>(4) For the purposes of the examinations referred to in subsections (3) and (3A), an evaluation must take into account—</w:t>
      </w:r>
    </w:p>
    <w:p w14:paraId="1E140657" w14:textId="77777777" w:rsidR="0081531A" w:rsidRPr="0081531A" w:rsidRDefault="0081531A" w:rsidP="0081531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  <w:r w:rsidRPr="0081531A">
        <w:rPr>
          <w:rFonts w:ascii="Times New Roman" w:hAnsi="Times New Roman" w:cs="Times New Roman"/>
        </w:rPr>
        <w:tab/>
      </w:r>
      <w:r w:rsidRPr="0081531A">
        <w:rPr>
          <w:rFonts w:ascii="Times New Roman" w:hAnsi="Times New Roman" w:cs="Times New Roman"/>
        </w:rPr>
        <w:tab/>
        <w:t>(</w:t>
      </w:r>
      <w:proofErr w:type="gramStart"/>
      <w:r w:rsidRPr="0081531A">
        <w:rPr>
          <w:rFonts w:ascii="Times New Roman" w:hAnsi="Times New Roman" w:cs="Times New Roman"/>
        </w:rPr>
        <w:t>a</w:t>
      </w:r>
      <w:proofErr w:type="gramEnd"/>
      <w:r w:rsidRPr="0081531A">
        <w:rPr>
          <w:rFonts w:ascii="Times New Roman" w:hAnsi="Times New Roman" w:cs="Times New Roman"/>
        </w:rPr>
        <w:t>) the benefits and costs of policies, rules, or other methods; and</w:t>
      </w:r>
    </w:p>
    <w:p w14:paraId="3097692E" w14:textId="07FDDD55" w:rsidR="0081531A" w:rsidRPr="00EF1074" w:rsidRDefault="0081531A" w:rsidP="0081531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  <w:r w:rsidRPr="0081531A">
        <w:rPr>
          <w:rFonts w:ascii="Times New Roman" w:hAnsi="Times New Roman" w:cs="Times New Roman"/>
        </w:rPr>
        <w:tab/>
      </w:r>
      <w:r w:rsidRPr="0081531A">
        <w:rPr>
          <w:rFonts w:ascii="Times New Roman" w:hAnsi="Times New Roman" w:cs="Times New Roman"/>
        </w:rPr>
        <w:tab/>
        <w:t>(</w:t>
      </w:r>
      <w:proofErr w:type="gramStart"/>
      <w:r w:rsidRPr="0081531A">
        <w:rPr>
          <w:rFonts w:ascii="Times New Roman" w:hAnsi="Times New Roman" w:cs="Times New Roman"/>
        </w:rPr>
        <w:t>b</w:t>
      </w:r>
      <w:proofErr w:type="gramEnd"/>
      <w:r w:rsidRPr="0081531A">
        <w:rPr>
          <w:rFonts w:ascii="Times New Roman" w:hAnsi="Times New Roman" w:cs="Times New Roman"/>
        </w:rPr>
        <w:t>) the risk of acting or not acting if there is uncertain or insufficient information about the subject matter of the policies, rules, or other methods.</w:t>
      </w:r>
    </w:p>
    <w:p w14:paraId="3250EE61" w14:textId="77777777" w:rsidR="00EF1074" w:rsidRDefault="00EF1074" w:rsidP="0081531A">
      <w:pPr>
        <w:widowControl w:val="0"/>
        <w:numPr>
          <w:ilvl w:val="1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ind w:hanging="1440"/>
        <w:rPr>
          <w:rFonts w:cs="Arial"/>
          <w:color w:val="262626"/>
        </w:rPr>
      </w:pPr>
    </w:p>
    <w:p w14:paraId="3120C99E" w14:textId="1CF30699" w:rsidR="00EF1074" w:rsidRPr="00EF1074" w:rsidRDefault="00EF1074" w:rsidP="00EF1074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b/>
          <w:color w:val="262626"/>
        </w:rPr>
        <w:lastRenderedPageBreak/>
        <w:t>NO EVALUATION OF WELL BEING</w:t>
      </w:r>
    </w:p>
    <w:p w14:paraId="65D5CE10" w14:textId="3CA03146" w:rsidR="00EF1074" w:rsidRDefault="00EF1074" w:rsidP="00EF1074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proofErr w:type="gramStart"/>
      <w:r>
        <w:rPr>
          <w:rFonts w:cs="Arial"/>
          <w:color w:val="262626"/>
        </w:rPr>
        <w:t>Well being</w:t>
      </w:r>
      <w:proofErr w:type="gramEnd"/>
      <w:r>
        <w:rPr>
          <w:rFonts w:cs="Arial"/>
          <w:color w:val="262626"/>
        </w:rPr>
        <w:t xml:space="preserve"> must include the mental and psychological heath of community members. Though not explicitly stated as such, this is one of the driving principles behind the RMA and District plans.</w:t>
      </w:r>
    </w:p>
    <w:p w14:paraId="0C65E8C9" w14:textId="66B39397" w:rsidR="00EF1074" w:rsidRDefault="00EF1074" w:rsidP="00EF1074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color w:val="262626"/>
        </w:rPr>
        <w:t xml:space="preserve">The need for certainty- it is not only an economic imperative but a fundamental need of every human being. That is why we have laws. Guiding principles. The human mind recoils from chaos- the opposite of law and certainty. </w:t>
      </w:r>
    </w:p>
    <w:p w14:paraId="688F247E" w14:textId="603EDD10" w:rsidR="00EF1074" w:rsidRDefault="00EF1074" w:rsidP="00EF1074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color w:val="262626"/>
        </w:rPr>
        <w:t>That is why there is a preoccupation with safety and ‘law and order’. Intrusions are feared. The Courts punish those who breach our sense of security.</w:t>
      </w:r>
    </w:p>
    <w:p w14:paraId="36BE7D4A" w14:textId="7D4ADBC8" w:rsidR="00EF1074" w:rsidRDefault="00EF1074" w:rsidP="00EF1074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color w:val="262626"/>
        </w:rPr>
        <w:t xml:space="preserve"> We need to believe that </w:t>
      </w:r>
      <w:proofErr w:type="gramStart"/>
      <w:r>
        <w:rPr>
          <w:rFonts w:cs="Arial"/>
          <w:color w:val="262626"/>
        </w:rPr>
        <w:t>living in our homes are</w:t>
      </w:r>
      <w:proofErr w:type="gramEnd"/>
      <w:r>
        <w:rPr>
          <w:rFonts w:cs="Arial"/>
          <w:color w:val="262626"/>
        </w:rPr>
        <w:t xml:space="preserve"> safe,</w:t>
      </w:r>
      <w:r w:rsidR="00DA6DC3">
        <w:rPr>
          <w:rFonts w:cs="Arial"/>
          <w:color w:val="262626"/>
        </w:rPr>
        <w:t xml:space="preserve"> </w:t>
      </w:r>
      <w:r>
        <w:rPr>
          <w:rFonts w:cs="Arial"/>
          <w:color w:val="262626"/>
        </w:rPr>
        <w:t>secure.</w:t>
      </w:r>
    </w:p>
    <w:p w14:paraId="5E9F1F0B" w14:textId="1231ED76" w:rsidR="00EF1074" w:rsidRDefault="00EF1074" w:rsidP="00EF1074">
      <w:pPr>
        <w:widowControl w:val="0"/>
        <w:numPr>
          <w:ilvl w:val="0"/>
          <w:numId w:val="1"/>
        </w:numPr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color w:val="262626"/>
        </w:rPr>
        <w:t>We have building codes so our houses do not leak, are not blown away, are not on liquefying land.</w:t>
      </w:r>
    </w:p>
    <w:p w14:paraId="0CFCE3EA" w14:textId="77777777" w:rsidR="006F719B" w:rsidRDefault="006F719B" w:rsidP="006F71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</w:p>
    <w:p w14:paraId="5CC04406" w14:textId="56FE86F9" w:rsidR="006F719B" w:rsidRDefault="006F719B" w:rsidP="006F71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  <w:u w:val="single"/>
        </w:rPr>
      </w:pPr>
      <w:r w:rsidRPr="006F719B">
        <w:rPr>
          <w:rFonts w:cs="Arial"/>
          <w:color w:val="262626"/>
          <w:u w:val="single"/>
        </w:rPr>
        <w:t>DESIGN</w:t>
      </w:r>
    </w:p>
    <w:p w14:paraId="7D8CF4C4" w14:textId="73D63F64" w:rsidR="006F719B" w:rsidRDefault="006F719B" w:rsidP="006F71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 w:rsidRPr="006F719B">
        <w:rPr>
          <w:rFonts w:cs="Arial"/>
          <w:color w:val="262626"/>
        </w:rPr>
        <w:t>Planning laws and regulations, District Plans are there to provide degrees of certainty.  Not only for the inve</w:t>
      </w:r>
      <w:r>
        <w:rPr>
          <w:rFonts w:cs="Arial"/>
          <w:color w:val="262626"/>
        </w:rPr>
        <w:t>s</w:t>
      </w:r>
      <w:r w:rsidRPr="006F719B">
        <w:rPr>
          <w:rFonts w:cs="Arial"/>
          <w:color w:val="262626"/>
        </w:rPr>
        <w:t xml:space="preserve">tor </w:t>
      </w:r>
      <w:proofErr w:type="gramStart"/>
      <w:r w:rsidRPr="006F719B">
        <w:rPr>
          <w:rFonts w:cs="Arial"/>
          <w:color w:val="262626"/>
        </w:rPr>
        <w:t>but</w:t>
      </w:r>
      <w:proofErr w:type="gramEnd"/>
      <w:r w:rsidRPr="006F719B">
        <w:rPr>
          <w:rFonts w:cs="Arial"/>
          <w:color w:val="262626"/>
        </w:rPr>
        <w:t xml:space="preserve"> for those living in the district and locality. We know where the shops are, light industry is,</w:t>
      </w:r>
      <w:r w:rsidR="00DA6DC3">
        <w:rPr>
          <w:rFonts w:cs="Arial"/>
          <w:color w:val="262626"/>
        </w:rPr>
        <w:t xml:space="preserve"> </w:t>
      </w:r>
      <w:r w:rsidRPr="006F719B">
        <w:rPr>
          <w:rFonts w:cs="Arial"/>
          <w:color w:val="262626"/>
        </w:rPr>
        <w:t>our places of recreation.</w:t>
      </w:r>
    </w:p>
    <w:p w14:paraId="0ED9A1E1" w14:textId="2DBF78E1" w:rsidR="006F719B" w:rsidRDefault="006F719B" w:rsidP="006F71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color w:val="262626"/>
        </w:rPr>
        <w:t>Design in good architecture is centered on providing</w:t>
      </w:r>
      <w:r w:rsidR="00DA6DC3">
        <w:rPr>
          <w:rFonts w:cs="Arial"/>
          <w:color w:val="262626"/>
        </w:rPr>
        <w:t xml:space="preserve"> </w:t>
      </w:r>
      <w:r>
        <w:rPr>
          <w:rFonts w:cs="Arial"/>
          <w:color w:val="262626"/>
        </w:rPr>
        <w:t>buildings and spaces</w:t>
      </w:r>
      <w:r w:rsidR="00DA6DC3">
        <w:rPr>
          <w:rFonts w:cs="Arial"/>
          <w:color w:val="262626"/>
        </w:rPr>
        <w:t xml:space="preserve"> </w:t>
      </w:r>
      <w:r>
        <w:rPr>
          <w:rFonts w:cs="Arial"/>
          <w:color w:val="262626"/>
        </w:rPr>
        <w:t xml:space="preserve">that </w:t>
      </w:r>
      <w:proofErr w:type="spellStart"/>
      <w:r>
        <w:rPr>
          <w:rFonts w:cs="Arial"/>
          <w:color w:val="262626"/>
        </w:rPr>
        <w:t>harmonise</w:t>
      </w:r>
      <w:proofErr w:type="spellEnd"/>
      <w:r>
        <w:rPr>
          <w:rFonts w:cs="Arial"/>
          <w:color w:val="262626"/>
        </w:rPr>
        <w:t xml:space="preserve"> with the psychological need for harmony balance inclusiveness. Concrete canyons bleak</w:t>
      </w:r>
      <w:r w:rsidR="00DA6DC3">
        <w:rPr>
          <w:rFonts w:cs="Arial"/>
          <w:color w:val="262626"/>
        </w:rPr>
        <w:t xml:space="preserve"> </w:t>
      </w:r>
      <w:r>
        <w:rPr>
          <w:rFonts w:cs="Arial"/>
          <w:color w:val="262626"/>
        </w:rPr>
        <w:t>cheap buildings</w:t>
      </w:r>
      <w:r w:rsidR="00DA6DC3">
        <w:rPr>
          <w:rFonts w:cs="Arial"/>
          <w:color w:val="262626"/>
        </w:rPr>
        <w:t xml:space="preserve"> </w:t>
      </w:r>
      <w:r>
        <w:rPr>
          <w:rFonts w:cs="Arial"/>
          <w:color w:val="262626"/>
        </w:rPr>
        <w:t>fail becaus</w:t>
      </w:r>
      <w:r w:rsidR="00DA6DC3">
        <w:rPr>
          <w:rFonts w:cs="Arial"/>
          <w:color w:val="262626"/>
        </w:rPr>
        <w:t>e they psychologically are perc</w:t>
      </w:r>
      <w:r>
        <w:rPr>
          <w:rFonts w:cs="Arial"/>
          <w:color w:val="262626"/>
        </w:rPr>
        <w:t>eived as dissonant, cold rebuffing. To be avoided. Do we go to the slums and ghettos as tourists, or do we concentrate on</w:t>
      </w:r>
      <w:r w:rsidR="00DA6DC3">
        <w:rPr>
          <w:rFonts w:cs="Arial"/>
          <w:color w:val="262626"/>
        </w:rPr>
        <w:t xml:space="preserve"> </w:t>
      </w:r>
      <w:bookmarkStart w:id="0" w:name="_GoBack"/>
      <w:bookmarkEnd w:id="0"/>
      <w:r>
        <w:rPr>
          <w:rFonts w:cs="Arial"/>
          <w:color w:val="262626"/>
        </w:rPr>
        <w:t xml:space="preserve">what we perceive as </w:t>
      </w:r>
      <w:r w:rsidR="00DA6DC3">
        <w:rPr>
          <w:rFonts w:cs="Arial"/>
          <w:color w:val="262626"/>
        </w:rPr>
        <w:t xml:space="preserve">beautifying? The slums of Calcutta or the </w:t>
      </w:r>
      <w:proofErr w:type="spellStart"/>
      <w:r w:rsidR="00DA6DC3">
        <w:rPr>
          <w:rFonts w:cs="Arial"/>
          <w:color w:val="262626"/>
        </w:rPr>
        <w:t>Taj</w:t>
      </w:r>
      <w:proofErr w:type="spellEnd"/>
      <w:r w:rsidR="00DA6DC3">
        <w:rPr>
          <w:rFonts w:cs="Arial"/>
          <w:color w:val="262626"/>
        </w:rPr>
        <w:t xml:space="preserve"> </w:t>
      </w:r>
      <w:proofErr w:type="spellStart"/>
      <w:r w:rsidR="00DA6DC3">
        <w:rPr>
          <w:rFonts w:cs="Arial"/>
          <w:color w:val="262626"/>
        </w:rPr>
        <w:t>Mahal</w:t>
      </w:r>
      <w:proofErr w:type="spellEnd"/>
      <w:r w:rsidR="00DA6DC3">
        <w:rPr>
          <w:rFonts w:cs="Arial"/>
          <w:color w:val="262626"/>
        </w:rPr>
        <w:t>, The London Council Tower blocks or Hyde Park and Trafalgar Square?</w:t>
      </w:r>
    </w:p>
    <w:p w14:paraId="682E3CD5" w14:textId="50E0A333" w:rsidR="00DA6DC3" w:rsidRPr="006F719B" w:rsidRDefault="00DA6DC3" w:rsidP="006F719B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rPr>
          <w:rFonts w:cs="Arial"/>
          <w:color w:val="262626"/>
        </w:rPr>
      </w:pPr>
      <w:r>
        <w:rPr>
          <w:rFonts w:cs="Arial"/>
          <w:color w:val="262626"/>
        </w:rPr>
        <w:t>Paris because of its human scale</w:t>
      </w:r>
      <w:proofErr w:type="gramStart"/>
      <w:r>
        <w:rPr>
          <w:rFonts w:cs="Arial"/>
          <w:color w:val="262626"/>
        </w:rPr>
        <w:t>,300</w:t>
      </w:r>
      <w:proofErr w:type="gramEnd"/>
      <w:r>
        <w:rPr>
          <w:rFonts w:cs="Arial"/>
          <w:color w:val="262626"/>
        </w:rPr>
        <w:t xml:space="preserve"> parks and Notre Dame?</w:t>
      </w:r>
    </w:p>
    <w:sectPr w:rsidR="00DA6DC3" w:rsidRPr="006F719B" w:rsidSect="00CC281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DC2"/>
    <w:rsid w:val="006F719B"/>
    <w:rsid w:val="0081531A"/>
    <w:rsid w:val="008C6DC2"/>
    <w:rsid w:val="00B72CD1"/>
    <w:rsid w:val="00CC2814"/>
    <w:rsid w:val="00CC3770"/>
    <w:rsid w:val="00DA6DC3"/>
    <w:rsid w:val="00E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DCF34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550</Words>
  <Characters>3139</Characters>
  <Application>Microsoft Macintosh Word</Application>
  <DocSecurity>0</DocSecurity>
  <Lines>26</Lines>
  <Paragraphs>7</Paragraphs>
  <ScaleCrop>false</ScaleCrop>
  <Company/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Ruthe</dc:creator>
  <cp:keywords/>
  <dc:description/>
  <cp:lastModifiedBy>Christopher Ruthe</cp:lastModifiedBy>
  <cp:revision>8</cp:revision>
  <dcterms:created xsi:type="dcterms:W3CDTF">2013-08-10T01:09:00Z</dcterms:created>
  <dcterms:modified xsi:type="dcterms:W3CDTF">2013-08-10T03:19:00Z</dcterms:modified>
</cp:coreProperties>
</file>